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217d39c939f312ba82e44a773d92ddc6d92ae5"/>
    <w:p>
      <w:pPr>
        <w:pStyle w:val="Heading1"/>
      </w:pPr>
      <w:r>
        <w:t xml:space="preserve">Sub-symptom-threshold aerobic exercise for concussion: from the Buffalo test to digital, clinician-supervised delivery</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of adolescents and, in a subsequent multicentre randomised trial, roughly halved the incidence of persistent post-concussive symptoms; the approach is now endorsed by the 6th International Consensus Statement on Concussion in Sport (Amsterdam 2022/2023). Yet the prescription remains hard to deliver: it depends on an individualised heart-rate ceiling that must be respected on every between-visit session, in the patient’s own time, away from the clinic and the treadmill. This review traces the paradigm shift, summarises the threshold-test and SSTAE evidence with effect sizes where published, and names the implementation gap between an evidence-based prescription and faithful between-visit delivery. It then proposes a set of delivery requirements, framed by the author and informed by the trial procedures and the delivery-gap analysis: a live, verified heart-rate signal displayed against the prescribed band; hardware-agnostic sourcing of that signal;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key-messages"/>
    <w:p>
      <w:pPr>
        <w:pStyle w:val="Heading2"/>
      </w:pPr>
      <w:r>
        <w:t xml:space="preserve">Key messages</w:t>
      </w:r>
    </w:p>
    <w:p>
      <w:pPr>
        <w:pStyle w:val="Compact"/>
        <w:numPr>
          <w:ilvl w:val="0"/>
          <w:numId w:val="1001"/>
        </w:numPr>
      </w:pPr>
      <w:r>
        <w:t xml:space="preserve">Sub-symptom-threshold aerobic exercise, dosed from a measured heart-rate threshold on a standardised graded test, is consensus-endorsed care for concussion — but the prescription presumes an individualised, invisible heart-rate ceiling is respected during unsupervised home sessions.</w:t>
      </w:r>
    </w:p>
    <w:p>
      <w:pPr>
        <w:pStyle w:val="Compact"/>
        <w:numPr>
          <w:ilvl w:val="0"/>
          <w:numId w:val="1001"/>
        </w:numPr>
      </w:pPr>
      <w:r>
        <w:t xml:space="preserve">Between-visit delivery typically goes unobserved: the data that make the prescription safe to progress — live heart rate against the prescribed band, completed-session records, next-day symptom responses, and serial thresholds — are data that ordinary clinical workflows are not set up to capture.</w:t>
      </w:r>
    </w:p>
    <w:p>
      <w:pPr>
        <w:pStyle w:val="Compact"/>
        <w:numPr>
          <w:ilvl w:val="0"/>
          <w:numId w:val="1001"/>
        </w:numPr>
      </w:pPr>
      <w:r>
        <w:t xml:space="preserve">Digital delivery tools are candidate instruments for closing this gap; this review proposes that they should never fabricate the heart-rate signal, should gate progression on verified sessions, and should report structured records back to the prescribing clinician. Whether they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[1].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[2]. Exercise intolerance is common and clinically meaningful: in one exploratory cohort of 100 adults with persistent post-concussive symptoms, over 80% tested positive for exercise intolerance, and a higher symptom burden was associated with higher odds of testing positive [3]. This matters because it means the phenotype is (a) apparently common, (b) measurable, and (c) the direct target of the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[4] codified the shift. Its position can be summarised:</w:t>
      </w:r>
    </w:p>
    <w:p>
      <w:pPr>
        <w:pStyle w:val="Compact"/>
        <w:numPr>
          <w:ilvl w:val="0"/>
          <w:numId w:val="1002"/>
        </w:numPr>
      </w:pPr>
      <w:r>
        <w:rPr>
          <w:b/>
          <w:bCs/>
        </w:rPr>
        <w:t xml:space="preserve">Relative rest for only 24–48 hours.</w:t>
      </w:r>
      <w:r>
        <w:t xml:space="preserve"> </w:t>
      </w:r>
      <w:r>
        <w:t xml:space="preserve">Light physical activity that does not risk a second head impact (e.g. walking) is encouraged within the first 48 hours.</w:t>
      </w:r>
    </w:p>
    <w:p>
      <w:pPr>
        <w:pStyle w:val="Compact"/>
        <w:numPr>
          <w:ilvl w:val="0"/>
          <w:numId w:val="1002"/>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already exceed a month.</w:t>
      </w:r>
    </w:p>
    <w:p>
      <w:pPr>
        <w:pStyle w:val="Compact"/>
        <w:numPr>
          <w:ilvl w:val="0"/>
          <w:numId w:val="1002"/>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[5]. The protocol — walk at a fixed starting speed, then increase the incline by 1° each minute for 15 stages, after which the speed increases — was chosen precisely because the Balke ramp is gentle, well-validated and proven safe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3"/>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3"/>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itself informative: it suggests the symptom driver is something other than the physiological phenotype (e.g. cervicogenic, vestibular, or mood) and should redirect the workup.</w:t>
      </w:r>
    </w:p>
    <w:p>
      <w:pPr>
        <w:pStyle w:val="Compact"/>
        <w:numPr>
          <w:ilvl w:val="0"/>
          <w:numId w:val="1003"/>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[6],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prescribing, the threshold test forecasts recovery. In adolescents with sport-related concussion, an absolute HRt below ~135 bpm was associated with prolonged (&gt;21-day) recovery in an earlier cohort from the same group (as cited in [7]),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[7]. A single test that both prescribes the dose and stratifies recovery risk is clinically valuable — and serial HRt becomes an objective recovery trajectory rather than a subjective symptom diary.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randomised trials, led largely by the originating Buffalo group.</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when patients exercised most days at ~80% of their symptom-threshold heart rate [8].</w:t>
      </w:r>
    </w:p>
    <w:p>
      <w:pPr>
        <w:pStyle w:val="BodyText"/>
      </w:pPr>
      <w:r>
        <w:rPr>
          <w:b/>
          <w:bCs/>
        </w:rPr>
        <w:t xml:space="preserve">Pivotal RCT (JAMA Pediatrics, 2019).</w:t>
      </w:r>
      <w:r>
        <w:t xml:space="preserve"> </w:t>
      </w:r>
      <w:r>
        <w:t xml:space="preserve">In a randomised clinical trial of 103 adolescents (aged 13–18) in the acute phase of sport-related concussion, sub-symptom-threshold aerobic exercise versus a placebo-like stretching programme accelerated recovery: median recovery 13 days versus 17 days, a statistically significant difference [9].</w:t>
      </w:r>
    </w:p>
    <w:p>
      <w:pPr>
        <w:pStyle w:val="BodyText"/>
      </w:pPr>
      <w:r>
        <w:rPr>
          <w:b/>
          <w:bCs/>
        </w:rPr>
        <w:t xml:space="preserve">Multicentre extension (Lancet Child &amp; Adolescent Health, 2021).</w:t>
      </w:r>
      <w:r>
        <w:t xml:space="preserve"> </w:t>
      </w:r>
      <w:r>
        <w:t xml:space="preserve">A larger, three-site RCT of 118 adolescents presenting within 10 days of injury, led by the originating group with collaborating sites, reproduced and extended the finding: targeted-heart-rate sub-symptom-threshold aerobic exercise roughly halved the risk of persistent post-concussive symptoms (hazard ratio for stretching versus aerobic exercise 0.52, 95% CI 0.28–0.97, p=0.039) and shortened recovery, with good adherence and no adverse events [10]. Extension across multiple sites, with prevention of</w:t>
      </w:r>
      <w:r>
        <w:t xml:space="preserve"> </w:t>
      </w:r>
      <w:r>
        <w:rPr>
          <w:i/>
          <w:iCs/>
        </w:rPr>
        <w:t xml:space="preserve">persistence</w:t>
      </w:r>
      <w:r>
        <w:t xml:space="preserve"> </w:t>
      </w:r>
      <w:r>
        <w:t xml:space="preserve">(the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[11]. Systematic synthesis for the Amsterdam process concluded that early rest beyond 24–48 hours confers no benefit and that prescribed sub-symptom-threshold aerobic exercise is beneficial [12]. A separate review noted that, while the adolescent evidence is strong, good-quality trials in adults and on broader outcomes are still needed [13].</w:t>
      </w:r>
    </w:p>
    <w:bookmarkEnd w:id="18"/>
    <w:bookmarkStart w:id="19" w:name="prescribing-without-a-treadmill"/>
    <w:p>
      <w:pPr>
        <w:pStyle w:val="Heading3"/>
      </w:pPr>
      <w:r>
        <w:t xml:space="preserve">2.4 Prescribing without a treadmill</w:t>
      </w:r>
    </w:p>
    <w:p>
      <w:pPr>
        <w:pStyle w:val="FirstParagraph"/>
      </w:pPr>
      <w:r>
        <w:t xml:space="preserve">A practical obstacle is that not every clinician has a treadmill, a heart-rate monitor and the time to run a staged treadmill test with per-minute logging. The Buffalo group addressed this in two practical-management papers: one detailing how to prescribe SSTAE in the outpatient setting from an HRt [14], and one giving a standardised programme in the absence of graded exercise testing [15]. Together they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4"/>
        </w:numPr>
      </w:pPr>
      <w:r>
        <w:rPr>
          <w:b/>
          <w:bCs/>
        </w:rPr>
        <w:t xml:space="preserve">Anchor:</w:t>
      </w:r>
      <w:r>
        <w:t xml:space="preserve"> </w:t>
      </w:r>
      <w:r>
        <w:t xml:space="preserve">HRt from a symptom-limited graded test (the validated provocation criterion is a symptom rise of ≥3 points from rest) [5].</w:t>
      </w:r>
    </w:p>
    <w:p>
      <w:pPr>
        <w:pStyle w:val="Compact"/>
        <w:numPr>
          <w:ilvl w:val="0"/>
          <w:numId w:val="1004"/>
        </w:numPr>
      </w:pPr>
      <w:r>
        <w:rPr>
          <w:b/>
          <w:bCs/>
        </w:rPr>
        <w:t xml:space="preserve">Band:</w:t>
      </w:r>
      <w:r>
        <w:t xml:space="preserve"> </w:t>
      </w:r>
      <w:r>
        <w:t xml:space="preserve">train at ~80–90% of HRt for concussion — a floor intended to preserve a training stimulus and a do-not-exceed ceiling that keeps the patient below provocation [8–10,13].</w:t>
      </w:r>
    </w:p>
    <w:p>
      <w:pPr>
        <w:pStyle w:val="Compact"/>
        <w:numPr>
          <w:ilvl w:val="0"/>
          <w:numId w:val="1004"/>
        </w:numPr>
      </w:pPr>
      <w:r>
        <w:rPr>
          <w:b/>
          <w:bCs/>
        </w:rPr>
        <w:t xml:space="preserve">Dose:</w:t>
      </w:r>
      <w:r>
        <w:t xml:space="preserve"> </w:t>
      </w:r>
      <w:r>
        <w:t xml:space="preserve">~20 minutes, most days of the week [9,10].</w:t>
      </w:r>
    </w:p>
    <w:p>
      <w:pPr>
        <w:pStyle w:val="Compact"/>
        <w:numPr>
          <w:ilvl w:val="0"/>
          <w:numId w:val="1004"/>
        </w:numPr>
      </w:pPr>
      <w:r>
        <w:rPr>
          <w:b/>
          <w:bCs/>
        </w:rPr>
        <w:t xml:space="preserve">Within-session stop rule:</w:t>
      </w:r>
      <w:r>
        <w:t xml:space="preserve"> </w:t>
      </w:r>
      <w:r>
        <w:t xml:space="preserve">stop if symptoms rise more than 2 points above pre-session — the complement of the consensus’s up-to-2-point tolerance band [4].</w:t>
      </w:r>
    </w:p>
    <w:p>
      <w:pPr>
        <w:pStyle w:val="Compact"/>
        <w:numPr>
          <w:ilvl w:val="0"/>
          <w:numId w:val="1004"/>
        </w:numPr>
      </w:pPr>
      <w:r>
        <w:rPr>
          <w:b/>
          <w:bCs/>
        </w:rPr>
        <w:t xml:space="preserve">Progression:</w:t>
      </w:r>
      <w:r>
        <w:t xml:space="preserve"> </w:t>
      </w:r>
      <w:r>
        <w:t xml:space="preserve">advance the ceiling only after clean sessions (no within-session provocation, no next-day flare); regress on repeated provocation; re-test HRt to update precisely [14,15].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Here is the problem the evidence does not solve. The trials prescribed an individualised heart-rate ceiling and reported good adherence under clinician oversight [9,10]. In routine practice, three things break:</w:t>
      </w:r>
    </w:p>
    <w:p>
      <w:pPr>
        <w:numPr>
          <w:ilvl w:val="0"/>
          <w:numId w:val="1005"/>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and the two failure modes are opposite and both harmful: under-dosing (no therapeutic stimulus, slow recovery) or over-shooting the ceiling (symptom provocation, a flare, loss of confidence in active rehabilitation).</w:t>
      </w:r>
    </w:p>
    <w:p>
      <w:pPr>
        <w:numPr>
          <w:ilvl w:val="0"/>
          <w:numId w:val="1005"/>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5"/>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for this: actual compliance with paper symptom diaries is far lower than reported compliance, and entries are commonly backfilled [16]. Serial HRt — the objective recovery curve — has to date been captured mainly within research protocols [9,10].</w:t>
      </w:r>
    </w:p>
    <w:p>
      <w:pPr>
        <w:pStyle w:val="FirstParagraph"/>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[8–10], the gap analysis in Section 3, and software-safety considerations, and stated at the level of requirements, independent of any vendor or product; Section 4.2 then locates the existing tools — including, with disclosed interest, the author’s — against them. The portable, repeatable prescription of Sections 2.4 and 2.5 is exactly what a guided tool could carry between visits, provided it carries it faithfully. The argument is deliberately modest: the physiology is not new; what the field lacks is faithful, verifiable, monitored delivery between visits.</w:t>
      </w:r>
    </w:p>
    <w:p>
      <w:pPr>
        <w:numPr>
          <w:ilvl w:val="0"/>
          <w:numId w:val="1006"/>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[9,10] — converts an abstract bpm range into a moment-to-moment</w:t>
      </w:r>
      <w:r>
        <w:t xml:space="preserve"> </w:t>
      </w:r>
      <w:r>
        <w:t xml:space="preserve">“in zone / over / under”</w:t>
      </w:r>
      <w:r>
        <w:t xml:space="preserve"> </w:t>
      </w:r>
      <w:r>
        <w:t xml:space="preserve">signal. This is a direct means of making the ceiling self-dosable — though whether live feedback improves real-world fidelity is itself an empirical question (Section 5).</w:t>
      </w:r>
    </w:p>
    <w:p>
      <w:pPr>
        <w:numPr>
          <w:ilvl w:val="0"/>
          <w:numId w:val="1006"/>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Heart rate is the load-bearing measurement; sourcing it must never be the blocker. Two limits attach to any implementation: phone-camera photoplethysmography is unreliable during exercise because of motion artefact, so it should never drive a live training session; and some widely owned wrist devices do not broadcast the standard Bluetooth Heart Rate profile, so those users need a chest strap or manual entry.</w:t>
      </w:r>
    </w:p>
    <w:p>
      <w:pPr>
        <w:numPr>
          <w:ilvl w:val="0"/>
          <w:numId w:val="1006"/>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second, stronger rule should govern progression: only a session whose heart rate was live-verified against a real sensor should advance the training band, and the band should never ratchet past the measured threshold — a fresh graded re-test being the only way to raise it further. Manual or unverified sessions can still count fully for safety (they can trigger a hold or regression) but should never push the ceiling up on trust alone.</w:t>
      </w:r>
    </w:p>
    <w:p>
      <w:pPr>
        <w:numPr>
          <w:ilvl w:val="0"/>
          <w:numId w:val="1006"/>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6"/>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 Structured between-visit return of concussion data to clinicians is already an established mobile-health pattern (Section 4.2).</w:t>
      </w:r>
    </w:p>
    <w:p>
      <w:pPr>
        <w:numPr>
          <w:ilvl w:val="0"/>
          <w:numId w:val="1006"/>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It would be wrong to imply that no one has digitised this prescription. Any novelty claim must be made against the prior art, which this review extends rather than ignores:</w:t>
      </w:r>
    </w:p>
    <w:p>
      <w:pPr>
        <w:pStyle w:val="Compact"/>
        <w:numPr>
          <w:ilvl w:val="0"/>
          <w:numId w:val="1007"/>
        </w:numPr>
      </w:pPr>
      <w:r>
        <w:t xml:space="preserve">A concussion rehabilitation app (Rhea Health, a University of Toronto spin-out) already delivers heart-rate-targeted aerobic prescription [17]. Its published protocol, however, guides users to a fixed ~60% ± 5% of age-predicted maximal heart rate (220 − age), with no graded test to individualise the threshold; individualisation is limited to in-app same/better/worse symptom feedback [18]. The published descriptions do not report a dedicated clinician dashboard [17,18]. An RCT from the same group has likewise delivered early aerobic exercise using a progressive percentage of age-predicted maximal heart rate [19]. (Neither Rhea nor the author’s product is affiliated with the Buffalo group.)</w:t>
      </w:r>
    </w:p>
    <w:p>
      <w:pPr>
        <w:pStyle w:val="Compact"/>
        <w:numPr>
          <w:ilvl w:val="0"/>
          <w:numId w:val="1007"/>
        </w:numPr>
      </w:pPr>
      <w:r>
        <w:t xml:space="preserve">Between-visit mobile-health symptom monitoring with structured return of data to clinicians is published [20].</w:t>
      </w:r>
    </w:p>
    <w:p>
      <w:pPr>
        <w:pStyle w:val="Compact"/>
        <w:numPr>
          <w:ilvl w:val="0"/>
          <w:numId w:val="1007"/>
        </w:numPr>
      </w:pPr>
      <w:r>
        <w:t xml:space="preserve">The pivotal Buffalo trials themselves delivered individualised HRt-based home exercise with wearable heart-rate monitoring — 80% of HRt with a home heart-rate monitor [9], and a serial-HRt-updated prescription with weekly BCTT recheck [10].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7"/>
        </w:numPr>
      </w:pPr>
      <w:r>
        <w:t xml:space="preserve">A commercial concussion exercise-prescription module exists and is reaching Australia: the Complete Concussion Management Inc. (CCMI) and Wibbi partnership (announced December 2025) embeds concussion protocols in a digital home-exercise-programme platform with outcome tracking [21]. The published description reports symptom and outcome-score tracking; it does not describe digital delivery of a serial measured-HRt curve [21].</w:t>
      </w:r>
    </w:p>
    <w:p>
      <w:pPr>
        <w:pStyle w:val="Compact"/>
        <w:numPr>
          <w:ilvl w:val="0"/>
          <w:numId w:val="1007"/>
        </w:numPr>
      </w:pPr>
      <w:r>
        <w:t xml:space="preserve">Concussion</w:t>
      </w:r>
      <w:r>
        <w:t xml:space="preserve"> </w:t>
      </w:r>
      <w:r>
        <w:rPr>
          <w:i/>
          <w:iCs/>
        </w:rPr>
        <w:t xml:space="preserve">assessment</w:t>
      </w:r>
      <w:r>
        <w:t xml:space="preserve"> </w:t>
      </w:r>
      <w:r>
        <w:t xml:space="preserve">platforms (e.g. Sway [22]) digitise symptom, balance and cognitive testing; their published descriptions include no exertion- or heart-rate-guided therapy. Supervised heart-rate-zone training is a familiar pattern in app-based cardiac rehabilitation; this review’s mapping identified no equivalently supervised,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[17,18]; the CCMI–Wibbi module’s published description reports outcome-score tracking rather than a serial measured-HRt curve [21]. Each element exists somewhere in the prior art; the observation concerns their combination — and it is made against criteria the author framed, so the disclosed interest applies to the comparison as much as to the product.</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and located against the same criteria as its comparators; consistent with Section 5, no efficacy claim is made for it.</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the adult and persistent-symptom evidence, while supportive, is thinner and calls for better trials [13]. A digital delivery tool inherits this evidence base — it can make faithful delivery of an evidence-based prescription easier and more measurable, but it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accumulated through normal clinical use is the appropriate first step towards outcome evidence; an efficacy claim would additionally require prospective controlled evaluation.</w:t>
      </w:r>
    </w:p>
    <w:p>
      <w:pPr>
        <w:pStyle w:val="BodyText"/>
      </w:pPr>
      <w:r>
        <w:t xml:space="preserve">Digital delivery is also not a free good, and the case for it should not be made one-sidedly. Whether a wearable-guided app actually improves between-visit delivery is itself an empirical question, not a given: app-based adherence commonly decays over weeks; live heart-rate feedback can be misread under exertion or anxiety; consumer optical sensors are least accurate at exactly the exercising heart rates that matter; and any tool introduces equity and access concerns — the cost of a wearable, smartphone and data, and a digital-literacy and language barrier that can widen rather than narrow disparities in who receives faithful rehabilitation. Privacy and data-governance obligations attach to any between-visit clinical data flow. These are the reasons the contribution is framed as verification-by-design and a measurable delivery substrate — and why its real-world value, like its efficacy, is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heart-rate threshold from a standardised graded test,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adherence and real-world delivery without widening access disparities — is precisely the question the next phase of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developer and founder of the SST Trainer software and of Concussion Education Australia,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8"/>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8"/>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8"/>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8"/>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8"/>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8"/>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8"/>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8"/>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8"/>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8"/>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8"/>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8"/>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8"/>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8"/>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8"/>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8"/>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8"/>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8"/>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8"/>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8"/>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8"/>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8"/>
        </w:numPr>
      </w:pPr>
      <w:r>
        <w:t xml:space="preserve">US Food and Drug Administration. 510(k) premarket notification K241737 (Sway Medical, Inc.). Decision date February 2025. https://www.accessdata.fda.gov/scripts/cdrh/cfdocs/cfpmn/pmn.cfm?ID=K241737 (accessed 12 August 2026).</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2026-08-12T05:03:07Z</dcterms:created>
  <dcterms:modified xsi:type="dcterms:W3CDTF">2026-08-12T05:03:07Z</dcterms:modified>
</cp:coreProperties>
</file>

<file path=docProps/custom.xml><?xml version="1.0" encoding="utf-8"?>
<Properties xmlns="http://schemas.openxmlformats.org/officeDocument/2006/custom-properties" xmlns:vt="http://schemas.openxmlformats.org/officeDocument/2006/docPropsVTypes"/>
</file>