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0217d39c939f312ba82e44a773d92ddc6d92ae5"/>
    <w:p>
      <w:pPr>
        <w:pStyle w:val="Heading1"/>
      </w:pPr>
      <w:r>
        <w:t xml:space="preserve">Sub-symptom-threshold aerobic exercise for concussion: from the Buffalo test to digital, clinician-supervised delivery</w:t>
      </w:r>
    </w:p>
    <w:p>
      <w:pPr>
        <w:pStyle w:val="FirstParagraph"/>
      </w:pPr>
      <w:r>
        <w:rPr>
          <w:b/>
          <w:bCs/>
        </w:rPr>
        <w:t xml:space="preserve">Zac Lewis</w:t>
      </w:r>
      <w:r>
        <w:t xml:space="preserve">¹</w:t>
      </w:r>
    </w:p>
    <w:p>
      <w:pPr>
        <w:pStyle w:val="BodyText"/>
      </w:pPr>
      <w:r>
        <w:t xml:space="preserve">¹ Concussion Education Australia, Australia. ORCID: 0009-0002-4267-0451.</w:t>
      </w:r>
    </w:p>
    <w:p>
      <w:pPr>
        <w:pStyle w:val="BodyText"/>
      </w:pPr>
      <w:r>
        <w:rPr>
          <w:b/>
          <w:bCs/>
        </w:rPr>
        <w:t xml:space="preserve">Corresponding author:</w:t>
      </w:r>
      <w:r>
        <w:t xml:space="preserve"> </w:t>
      </w:r>
      <w:r>
        <w:t xml:space="preserve">Zac Lewis, Concussion Education Australia. Email: z.lew87@gmail.com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in adolescents and, in a subsequent multicentre randomised trial, roughly halved the incidence of persistent post-concussive symptoms; the approach is now endorsed by the 6th International Consensus Statement on Concussion in Sport (Amsterdam 2022/2023). Yet the prescription remains hard to deliver: it depends on an individualised heart-rate ceiling that must be respected on every between-visit session, in the patient’s own time, away from the clinic and the treadmill. This review traces the paradigm shift, summarises the threshold-test and SSTAE evidence with effect sizes where published, and names the implementation gap between an evidence-based prescription and faithful between-visit delivery. It then proposes a set of delivery requirements, framed by the author and informed by the trial procedures and the delivery-gap analysis: a live, verified heart-rate signal displayed against the prescribed band; hardware-agnostic sourcing of that signal;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key-messages"/>
    <w:p>
      <w:pPr>
        <w:pStyle w:val="Heading2"/>
      </w:pPr>
      <w:r>
        <w:t xml:space="preserve">Key messages</w:t>
      </w:r>
    </w:p>
    <w:p>
      <w:pPr>
        <w:pStyle w:val="Compact"/>
        <w:numPr>
          <w:ilvl w:val="0"/>
          <w:numId w:val="1001"/>
        </w:numPr>
      </w:pPr>
      <w:r>
        <w:t xml:space="preserve">Sub-symptom-threshold aerobic exercise, dosed from a measured heart-rate threshold on a standardised graded test, is consensus-endorsed care for concussion — but the prescription presumes an individualised, invisible heart-rate ceiling is respected during unsupervised home sessions.</w:t>
      </w:r>
    </w:p>
    <w:p>
      <w:pPr>
        <w:pStyle w:val="Compact"/>
        <w:numPr>
          <w:ilvl w:val="0"/>
          <w:numId w:val="1001"/>
        </w:numPr>
      </w:pPr>
      <w:r>
        <w:t xml:space="preserve">Between-visit delivery typically goes unobserved: the data that make the prescription safe to progress — live heart rate against the prescribed band, completed-session records, next-day symptom responses, and serial thresholds — are data that ordinary clinical workflows are not set up to capture.</w:t>
      </w:r>
    </w:p>
    <w:p>
      <w:pPr>
        <w:pStyle w:val="Compact"/>
        <w:numPr>
          <w:ilvl w:val="0"/>
          <w:numId w:val="1001"/>
        </w:numPr>
      </w:pPr>
      <w:r>
        <w:t xml:space="preserve">Digital delivery tools are candidate instruments for closing this gap; this review proposes that they should never fabricate the heart-rate signal, should gate progression on verified sessions, and should report structured records back to the prescribing clinician. Whether they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controlled trials, the international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the comparative statements in Section 4.2 are limited to the tools identified by it. As a narrative synthesis, this is not a systematic review: it includes no formal protocol, screening flow, or risk-of-bias appraisal, and effect estimates are reported as published rather than pooled. Its aim is to map the evidence and the delivery gap, not to derive a new quantitative summary.</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product-independent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The intuition was mechanical: an injured brain should be protected from load. But prolonged rest has costs. Deconditioning, sleep disruption, mood disturbance, social isolation and nocebo-style symptom focus all compound the original injury, and there was never randomised evidence that strict rest shortened recovery; a randomised trial of strict rest found a higher symptom burden and slower symptom resolution than usual care [1]. By the mid-2010s, the rest prescription was being actively questioned.</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[2]. The argument is that a meaningful proportion of post-concussion symptom burden is not structural but a disorder of physiological regulation — autonomic and cerebrovascular dysregulation that is provoked by exertion and, crucially, is responsive to a graded aerobic stimulus delivered below the provocation threshold. Exercise, correctly dosed, is not a risk to be avoided; it is the treatment.</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[3]. Exercise intolerance is common and clinically meaningful: in one exploratory cohort of 100 adults with persistent post-concussive symptoms, over 80% tested positive for exercise intolerance, and a higher symptom burden was associated with higher odds of testing positive [4]. This matters because it means the phenotype is (a) apparently common, (b) measurable, and (c) the direct target of the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[5] codified the shift. Its position can be summarised:</w:t>
      </w:r>
    </w:p>
    <w:p>
      <w:pPr>
        <w:pStyle w:val="Compact"/>
        <w:numPr>
          <w:ilvl w:val="0"/>
          <w:numId w:val="1002"/>
        </w:numPr>
      </w:pPr>
      <w:r>
        <w:rPr>
          <w:b/>
          <w:bCs/>
        </w:rPr>
        <w:t xml:space="preserve">Relative rest for only 24–48 hours.</w:t>
      </w:r>
      <w:r>
        <w:t xml:space="preserve"> </w:t>
      </w:r>
      <w:r>
        <w:t xml:space="preserve">Light physical activity that does not risk a second head impact (e.g. walking) is encouraged within the first 48 hours.</w:t>
      </w:r>
    </w:p>
    <w:p>
      <w:pPr>
        <w:pStyle w:val="Compact"/>
        <w:numPr>
          <w:ilvl w:val="0"/>
          <w:numId w:val="1002"/>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have already persisted beyond a month.</w:t>
      </w:r>
    </w:p>
    <w:p>
      <w:pPr>
        <w:pStyle w:val="Compact"/>
        <w:numPr>
          <w:ilvl w:val="0"/>
          <w:numId w:val="1002"/>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remainder of this review establishes the evidence underneath each component of this doctrine — the test, the prescription, and the progression —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[6]. The protocol — walk at a fixed starting speed, then increase the incline by 1° each minute for 15 stages, after which the speed increases — was chosen precisely because the Balke ramp is gentle, well-validated and established as safe, under clinical supervision,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3"/>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3"/>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itself informative: it suggests the symptom driver is something other than the physiological phenotype (e.g. cervicogenic, vestibular, or mood) and should redirect the workup.</w:t>
      </w:r>
    </w:p>
    <w:p>
      <w:pPr>
        <w:pStyle w:val="Compact"/>
        <w:numPr>
          <w:ilvl w:val="0"/>
          <w:numId w:val="1003"/>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[7], which is what justifies serial testing as a recovery curve.</w:t>
      </w:r>
    </w:p>
    <w:bookmarkEnd w:id="16"/>
    <w:bookmarkStart w:id="17" w:name="X2ac495127aa7804d208a3bfde19a339384f34c4"/>
    <w:p>
      <w:pPr>
        <w:pStyle w:val="Heading3"/>
      </w:pPr>
      <w:r>
        <w:t xml:space="preserve">2.2 HRt and the heart-rate response are also prognostic</w:t>
      </w:r>
    </w:p>
    <w:p>
      <w:pPr>
        <w:pStyle w:val="FirstParagraph"/>
      </w:pPr>
      <w:r>
        <w:t xml:space="preserve">Beyond prescribing, the threshold test forecasts recovery. In adolescents with sport-related concussion, an absolute HRt below ~135 bpm was associated with prolonged (&gt;21-day) recovery in an earlier cohort from the same group (as cited in [8]), and Haider and colleagues found that a blunted heart-rate response — a change in heart rate of ≤50 bpm across the test — predicted delayed (&gt;30-day) recovery with roughly 73% sensitivity and 78% specificity in adolescents not treated with aerobic exercise (the rest and placebo-stretching arms) [8]. A single test that both prescribes the dose and stratifies recovery risk is clinically valuable — and serial HRt becomes an objective recovery trajectory rather than a subjective symptom diary.</w:t>
      </w:r>
    </w:p>
    <w:bookmarkEnd w:id="17"/>
    <w:bookmarkStart w:id="18" w:name="Xbea322abca57675037f64c7b4ad7f04c937e183"/>
    <w:p>
      <w:pPr>
        <w:pStyle w:val="Heading3"/>
      </w:pPr>
      <w:r>
        <w:t xml:space="preserve">2.3 The randomised evidence for SSTAE and its effect sizes</w:t>
      </w:r>
    </w:p>
    <w:p>
      <w:pPr>
        <w:pStyle w:val="FirstParagraph"/>
      </w:pPr>
      <w:r>
        <w:t xml:space="preserve">The therapeutic claim rests on a coherent chain of randomised trials, led largely by the originating Buffalo group.</w:t>
      </w:r>
    </w:p>
    <w:p>
      <w:pPr>
        <w:pStyle w:val="BodyText"/>
      </w:pPr>
      <w:r>
        <w:rPr>
          <w:b/>
          <w:bCs/>
        </w:rPr>
        <w:t xml:space="preserve">Origin and proof of concept.</w:t>
      </w:r>
      <w:r>
        <w:t xml:space="preserve"> </w:t>
      </w:r>
      <w:r>
        <w:t xml:space="preserve">A preliminary sub-symptom-threshold treadmill-training programme for refractory post-concussion syndrome demonstrated feasibility and symptom improvement when patients exercised most days at ~80% of their symptom-threshold heart rate [9].</w:t>
      </w:r>
    </w:p>
    <w:p>
      <w:pPr>
        <w:pStyle w:val="BodyText"/>
      </w:pPr>
      <w:r>
        <w:rPr>
          <w:b/>
          <w:bCs/>
        </w:rPr>
        <w:t xml:space="preserve">Pivotal RCT (JAMA Pediatrics, 2019).</w:t>
      </w:r>
      <w:r>
        <w:t xml:space="preserve"> </w:t>
      </w:r>
      <w:r>
        <w:t xml:space="preserve">In a randomised clinical trial of 103 adolescents (aged 13–18) in the acute phase of sport-related concussion, sub-symptom-threshold aerobic exercise versus a placebo-like stretching programme accelerated recovery: median recovery 13 days versus 17 days, a statistically significant difference [10].</w:t>
      </w:r>
    </w:p>
    <w:p>
      <w:pPr>
        <w:pStyle w:val="BodyText"/>
      </w:pPr>
      <w:r>
        <w:rPr>
          <w:b/>
          <w:bCs/>
        </w:rPr>
        <w:t xml:space="preserve">Multicentre extension (Lancet Child &amp; Adolescent Health, 2021).</w:t>
      </w:r>
      <w:r>
        <w:t xml:space="preserve"> </w:t>
      </w:r>
      <w:r>
        <w:t xml:space="preserve">A larger, three-site RCT of 118 adolescents presenting within 10 days of injury, led by the originating group with collaborating sites, reproduced and extended the finding: targeted-heart-rate sub-symptom-threshold aerobic exercise roughly halved the risk of persistent post-concussive symptoms (the trial’s reported hazard ratio for stretching versus aerobic exercise: 0.52, 95% CI 0.28–0.97, p=0.039) and shortened recovery, with good adherence and no adverse events [11]. Extension across multiple sites, with prevention of</w:t>
      </w:r>
      <w:r>
        <w:t xml:space="preserve"> </w:t>
      </w:r>
      <w:r>
        <w:rPr>
          <w:i/>
          <w:iCs/>
        </w:rPr>
        <w:t xml:space="preserve">persistence</w:t>
      </w:r>
      <w:r>
        <w:t xml:space="preserve"> </w:t>
      </w:r>
      <w:r>
        <w:t xml:space="preserve">(the costly outcome)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over rest management [12]. Systematic synthesis for the Amsterdam process concluded that early rest beyond 24–48 hours confers no benefit and that prescribed sub-symptom-threshold aerobic exercise is beneficial [13]. A separate review noted that, while the adolescent evidence is strong, good-quality trials in adults and on broader outcomes are still needed [14].</w:t>
      </w:r>
    </w:p>
    <w:bookmarkEnd w:id="18"/>
    <w:bookmarkStart w:id="19" w:name="prescribing-without-a-treadmill"/>
    <w:p>
      <w:pPr>
        <w:pStyle w:val="Heading3"/>
      </w:pPr>
      <w:r>
        <w:t xml:space="preserve">2.4 Prescribing without a treadmill</w:t>
      </w:r>
    </w:p>
    <w:p>
      <w:pPr>
        <w:pStyle w:val="FirstParagraph"/>
      </w:pPr>
      <w:r>
        <w:t xml:space="preserve">A practical obstacle is that not every clinician has a treadmill, a heart-rate monitor and the time to run a staged treadmill test with per-minute logging. The Buffalo group addressed this in two practical-management papers: one detailing how to prescribe SSTAE in the outpatient setting from an HRt [15], and one giving a standardised programme in the absence of graded exercise testing [16]. Together they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4"/>
        </w:numPr>
      </w:pPr>
      <w:r>
        <w:rPr>
          <w:b/>
          <w:bCs/>
        </w:rPr>
        <w:t xml:space="preserve">Anchor:</w:t>
      </w:r>
      <w:r>
        <w:t xml:space="preserve"> </w:t>
      </w:r>
      <w:r>
        <w:t xml:space="preserve">HRt from a symptom-limited graded test (the validated provocation criterion is a symptom rise of ≥3 points from rest) [6].</w:t>
      </w:r>
    </w:p>
    <w:p>
      <w:pPr>
        <w:pStyle w:val="Compact"/>
        <w:numPr>
          <w:ilvl w:val="0"/>
          <w:numId w:val="1004"/>
        </w:numPr>
      </w:pPr>
      <w:r>
        <w:rPr>
          <w:b/>
          <w:bCs/>
        </w:rPr>
        <w:t xml:space="preserve">Band:</w:t>
      </w:r>
      <w:r>
        <w:t xml:space="preserve"> </w:t>
      </w:r>
      <w:r>
        <w:t xml:space="preserve">train at ~80–90% of HRt for concussion — a floor intended to preserve a training stimulus and a do-not-exceed ceiling that keeps the patient below provocation [9–11,14].</w:t>
      </w:r>
    </w:p>
    <w:p>
      <w:pPr>
        <w:pStyle w:val="Compact"/>
        <w:numPr>
          <w:ilvl w:val="0"/>
          <w:numId w:val="1004"/>
        </w:numPr>
      </w:pPr>
      <w:r>
        <w:rPr>
          <w:b/>
          <w:bCs/>
        </w:rPr>
        <w:t xml:space="preserve">Dose:</w:t>
      </w:r>
      <w:r>
        <w:t xml:space="preserve"> </w:t>
      </w:r>
      <w:r>
        <w:t xml:space="preserve">~20 minutes, most days of the week [10,11].</w:t>
      </w:r>
    </w:p>
    <w:p>
      <w:pPr>
        <w:pStyle w:val="Compact"/>
        <w:numPr>
          <w:ilvl w:val="0"/>
          <w:numId w:val="1004"/>
        </w:numPr>
      </w:pPr>
      <w:r>
        <w:rPr>
          <w:b/>
          <w:bCs/>
        </w:rPr>
        <w:t xml:space="preserve">Within-session stop rule:</w:t>
      </w:r>
      <w:r>
        <w:t xml:space="preserve"> </w:t>
      </w:r>
      <w:r>
        <w:t xml:space="preserve">stop if symptoms rise more than 2 points above pre-session — the complement of the consensus’s up-to-2-point tolerance band [5].</w:t>
      </w:r>
    </w:p>
    <w:p>
      <w:pPr>
        <w:pStyle w:val="Compact"/>
        <w:numPr>
          <w:ilvl w:val="0"/>
          <w:numId w:val="1004"/>
        </w:numPr>
      </w:pPr>
      <w:r>
        <w:rPr>
          <w:b/>
          <w:bCs/>
        </w:rPr>
        <w:t xml:space="preserve">Progression:</w:t>
      </w:r>
      <w:r>
        <w:t xml:space="preserve"> </w:t>
      </w:r>
      <w:r>
        <w:t xml:space="preserve">advance the ceiling only after clean sessions (no within-session provocation, no next-day flare); regress on repeated provocation; re-test HRt to update precisely [15,16].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Here is the problem the evidence does not solve. The trials prescribed an individualised heart-rate ceiling and reported good adherence under clinician oversight [10,11]. In routine practice, three things break:</w:t>
      </w:r>
    </w:p>
    <w:p>
      <w:pPr>
        <w:numPr>
          <w:ilvl w:val="0"/>
          <w:numId w:val="1005"/>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and the two failure modes are opposite and both harmful: under-dosing (no therapeutic stimulus, slow recovery) or overshooting the ceiling (symptom provocation, a flare, loss of confidence in active rehabilitation).</w:t>
      </w:r>
    </w:p>
    <w:p>
      <w:pPr>
        <w:numPr>
          <w:ilvl w:val="0"/>
          <w:numId w:val="1005"/>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w:t>
      </w:r>
    </w:p>
    <w:p>
      <w:pPr>
        <w:numPr>
          <w:ilvl w:val="0"/>
          <w:numId w:val="1005"/>
        </w:numPr>
      </w:pPr>
      <w:r>
        <w:rPr>
          <w:b/>
          <w:bCs/>
        </w:rPr>
        <w:t xml:space="preserve">The data needed to progress safely are exactly the data that are lost.</w:t>
      </w:r>
      <w:r>
        <w:t xml:space="preserve"> </w:t>
      </w:r>
      <w:r>
        <w:t xml:space="preserve">The progression decision (advance / hold / regress / refer) depends on a structured session history. Paper diaries are a demonstrably unreliable instrument in analogous self-report settings: actual compliance with paper symptom diaries is far lower than reported compliance, and entries are commonly backfilled [17]. Serial HRt — the objective recovery curve — has to date been captured mainly within research protocols [10,11].</w:t>
      </w:r>
    </w:p>
    <w:p>
      <w:pPr>
        <w:pStyle w:val="FirstParagraph"/>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informed by the trial procedures [9–11], the gap analysis in Section 3, and software-safety considerations, and stated at the level of requirements, independent of any vendor or product; Section 4.2 then locates the existing tools — including, with disclosed interest, the author’s — against them. The portable, repeatable prescription of Sections 2.4 and 2.5 is exactly what a guided tool could carry between visits, provided it carries it faithfully. The argument is deliberately modest: the physiology is not new; what the field lacks is faithful, verifiable, monitored delivery between visits.</w:t>
      </w:r>
    </w:p>
    <w:p>
      <w:pPr>
        <w:numPr>
          <w:ilvl w:val="0"/>
          <w:numId w:val="1006"/>
        </w:numPr>
      </w:pPr>
      <w:r>
        <w:rPr>
          <w:b/>
          <w:bCs/>
        </w:rPr>
        <w:t xml:space="preserve">Make the invisible ceiling visible and live.</w:t>
      </w:r>
      <w:r>
        <w:t xml:space="preserve"> </w:t>
      </w:r>
      <w:r>
        <w:t xml:space="preserve">A continuous heart-rate read, shown against the prescribed band in real time — the trials themselves delivered the band on a worn heart-rate monitor [10,11] — converts an abstract bpm range into a moment-to-moment</w:t>
      </w:r>
      <w:r>
        <w:t xml:space="preserve"> </w:t>
      </w:r>
      <w:r>
        <w:t xml:space="preserve">“in zone / over / under”</w:t>
      </w:r>
      <w:r>
        <w:t xml:space="preserve"> </w:t>
      </w:r>
      <w:r>
        <w:t xml:space="preserve">signal. This is a direct means of making the ceiling self-dosable — though whether live feedback improves real-world fidelity is itself an empirical question (Section 5).</w:t>
      </w:r>
    </w:p>
    <w:p>
      <w:pPr>
        <w:numPr>
          <w:ilvl w:val="0"/>
          <w:numId w:val="1006"/>
        </w:numPr>
      </w:pPr>
      <w:r>
        <w:rPr>
          <w:b/>
          <w:bCs/>
        </w:rPr>
        <w:t xml:space="preserve">Be hardware-agnostic so the ceiling is always available.</w:t>
      </w:r>
      <w:r>
        <w:t xml:space="preserve"> </w:t>
      </w:r>
      <w:r>
        <w:t xml:space="preserve">Friction is a major threat to adherence. A tool should accept any wearable that broadcasts the standard Bluetooth Heart Rate profile — chest straps and most sports watches — and should fall back to clinician manual entry, meeting the patient where they are rather than mandating a purchase. Heart rate is the load-bearing measurement; sourcing it must never be the blocker. Two limits attach to any implementation: optical heart-rate measurement degrades with motion — smartphone-camera apps show variable accuracy [18] and wrist-worn optical sensors are measurably less accurate during aerobic exercise [19] — so a phone-camera estimate should never drive a live training session; and some widely owned wrist devices do not broadcast the standard Bluetooth Heart Rate profile, so those users need a chest strap or manual entry.</w:t>
      </w:r>
    </w:p>
    <w:p>
      <w:pPr>
        <w:numPr>
          <w:ilvl w:val="0"/>
          <w:numId w:val="1006"/>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second, stronger rule should govern progression: only a session whose heart rate was live-verified against a real sensor should advance the training band, and the band should never ratchet past the measured threshold — a fresh graded re-test being the only way to raise it further. Manual or unverified sessions can still count fully for safety (they can trigger a hold or regression) but should never push the ceiling up on trust alone.</w:t>
      </w:r>
    </w:p>
    <w:p>
      <w:pPr>
        <w:numPr>
          <w:ilvl w:val="0"/>
          <w:numId w:val="1006"/>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6"/>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key input to the return-to-activity decision rather than disappearing into a home diary. Structured between-visit return of concussion data to clinicians is already an established mobile-health pattern (Section 4.2).</w:t>
      </w:r>
    </w:p>
    <w:p>
      <w:pPr>
        <w:numPr>
          <w:ilvl w:val="0"/>
          <w:numId w:val="1006"/>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Even so, software that analyses a live physiological signal and is operated by the patient may fall outside clinical-decision-support carve-outs — such as the carve-out under the US 21st Century Cures Act §3060 and the TGA’s clinical-decision-support exemption, both drafted around clinician-facing software that does not process device signals — and be regulated as software as a medical device. Classification turns on claims and intended use, and a formal regulatory scoping opinion should precede launch — or, for tools already in clinical use, be obtained without delay.</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are typically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 The distinction also runs the other way: some exertion-intolerant patients may present with post-exertional-malaise-pattern responses (including comorbid postural orthostatic tachycardia presentations) for whom train-up-to-the-band framing is inappropriate — a delivery tool should screen for such responses and divert those patients to clinician review rather than train through the response.</w:t>
      </w:r>
    </w:p>
    <w:bookmarkEnd w:id="23"/>
    <w:bookmarkStart w:id="24" w:name="X650251001df0a14204e238fbceb56dfd92c4261"/>
    <w:p>
      <w:pPr>
        <w:pStyle w:val="Heading3"/>
      </w:pPr>
      <w:r>
        <w:t xml:space="preserve">4.2 What already exists — and the narrow residual claim</w:t>
      </w:r>
    </w:p>
    <w:p>
      <w:pPr>
        <w:pStyle w:val="FirstParagraph"/>
      </w:pPr>
      <w:r>
        <w:t xml:space="preserve">It would be wrong to imply that no one has digitised this prescription. Any novelty claim must be made against the prior art, which this review extends rather than ignores:</w:t>
      </w:r>
    </w:p>
    <w:p>
      <w:pPr>
        <w:pStyle w:val="Compact"/>
        <w:numPr>
          <w:ilvl w:val="0"/>
          <w:numId w:val="1007"/>
        </w:numPr>
      </w:pPr>
      <w:r>
        <w:t xml:space="preserve">A concussion rehabilitation app (Rhea Health, a University of Toronto spin-out) already delivers heart-rate-targeted aerobic prescription [20]. Its published protocol, however, guides users to a fixed ~60% ± 5% of age-predicted maximal heart rate (220 − age), with no graded test to individualise the threshold; individualisation is limited to in-app same/better/worse symptom feedback [21]. The cited evaluations do not report a dedicated clinician dashboard [20,21]. An RCT from the same group has likewise delivered early aerobic exercise using a progressive percentage of age-predicted maximal heart rate [22]. (Neither Rhea nor the author’s product is affiliated with the Buffalo group.)</w:t>
      </w:r>
    </w:p>
    <w:p>
      <w:pPr>
        <w:pStyle w:val="Compact"/>
        <w:numPr>
          <w:ilvl w:val="0"/>
          <w:numId w:val="1007"/>
        </w:numPr>
      </w:pPr>
      <w:r>
        <w:t xml:space="preserve">Between-visit mobile-health symptom monitoring with structured return of data to clinicians is published [23].</w:t>
      </w:r>
    </w:p>
    <w:p>
      <w:pPr>
        <w:pStyle w:val="Compact"/>
        <w:numPr>
          <w:ilvl w:val="0"/>
          <w:numId w:val="1007"/>
        </w:numPr>
      </w:pPr>
      <w:r>
        <w:t xml:space="preserve">The pivotal Buffalo trials themselves delivered individualised HRt-based home exercise with wearable heart-rate monitoring — 80% of HRt with a home heart-rate monitor [10], and a serial-HRt-updated prescription with weekly BCTT recheck [11].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7"/>
        </w:numPr>
      </w:pPr>
      <w:r>
        <w:t xml:space="preserve">A commercial concussion exercise-prescription module exists: the Complete Concussion Management Inc. (CCMI) and Wibbi partnership (announced December 2025) embeds concussion protocols in a digital home-exercise-programme platform with real-time outcome monitoring and progress tracking [24]. The published description does not, however, describe digital delivery of a serial measured-HRt curve [24].</w:t>
      </w:r>
    </w:p>
    <w:p>
      <w:pPr>
        <w:pStyle w:val="Compact"/>
        <w:numPr>
          <w:ilvl w:val="0"/>
          <w:numId w:val="1007"/>
        </w:numPr>
      </w:pPr>
      <w:r>
        <w:t xml:space="preserve">Concussion</w:t>
      </w:r>
      <w:r>
        <w:t xml:space="preserve"> </w:t>
      </w:r>
      <w:r>
        <w:rPr>
          <w:i/>
          <w:iCs/>
        </w:rPr>
        <w:t xml:space="preserve">assessment</w:t>
      </w:r>
      <w:r>
        <w:t xml:space="preserve"> </w:t>
      </w:r>
      <w:r>
        <w:t xml:space="preserve">platforms digitise symptom, balance and cognitive testing — Sway’s FDA-cleared scope, for example, covers cognitive and balance assessment only [25] — and none identified by the mapping delivers exertion- or heart-rate-guided therapy. Remotely monitored, app-supported exercise rehabilitation with structured clinician review is an established pattern in cardiac care [26]; this review’s mapping identified no equivalent at-scale commercial implementation for concussion.</w:t>
      </w:r>
    </w:p>
    <w:p>
      <w:pPr>
        <w:pStyle w:val="FirstParagraph"/>
      </w:pPr>
      <w:r>
        <w:t xml:space="preserve">Against that backdrop, the defensible observation is not</w:t>
      </w:r>
      <w:r>
        <w:t xml:space="preserve"> </w:t>
      </w:r>
      <w:r>
        <w:t xml:space="preserve">“first digital delivery”</w:t>
      </w:r>
      <w:r>
        <w:t xml:space="preserve">. It is narrower and construct-level: none of the third-party tools identified in this review combines a</w:t>
      </w:r>
      <w:r>
        <w:t xml:space="preserve"> </w:t>
      </w:r>
      <w:r>
        <w:rPr>
          <w:i/>
          <w:iCs/>
        </w:rPr>
        <w:t xml:space="preserve">measured</w:t>
      </w:r>
      <w:r>
        <w:t xml:space="preserve"> </w:t>
      </w:r>
      <w:r>
        <w:t xml:space="preserve">heart-rate threshold (BCTT-derived, not age-predicted maximal),</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percentage of age-predicted maximal heart rate with no graded test and no reported clinician dashboard [20,21]; the CCMI–Wibbi module’s published description reports outcome monitoring and progress tracking rather than a serial measured-HRt curve [24]. Each element exists somewhere in the prior art; the observation concerns their combination — and it is made against criteria the author framed, so the disclosed interest applies to the comparison as much as to the product. Two further qualifications: standardised and age-predicted programmes are themselves evidence-supported [16,22], and no trial has compared measured-threshold-anchored delivery with age-predicted delivery head-to-head. The case for the measured threshold is therefore fidelity to the trialled Buffalo protocol and the prognostic value of the serial measurement (Section 2.2) — not a demonstrated outcome advantage.</w:t>
      </w:r>
    </w:p>
    <w:p>
      <w:pPr>
        <w:pStyle w:val="BodyText"/>
      </w:pPr>
      <w:r>
        <w:t xml:space="preserve">The author’s software (SST Trainer, developed by Concussion Education Australia — the competing interest disclosed in the Methods and Declarations) is one attempt to implement the Section 4 requirements as stated. Whether it achieves that combination in practice is a product claim this review does not adjudicate; it is asserted here only as design intent. The software is in early, clinician-gated commercial release in Australia, supplied on the developer’s self-assessment of the boundary described above, with regulatory guidance sought from the TGA; the formal scoping recommended above applies to it no less than to any other tool in the category. It is named for transparency and located against the same criteria as its comparators; consistent with Section 5, no efficacy claim is made for it.</w:t>
      </w:r>
    </w:p>
    <w:bookmarkEnd w:id="24"/>
    <w:bookmarkEnd w:id="25"/>
    <w:bookmarkStart w:id="26" w:name="limitations-and-scope"/>
    <w:p>
      <w:pPr>
        <w:pStyle w:val="Heading2"/>
      </w:pPr>
      <w:r>
        <w:t xml:space="preserve">5. Limitations and scope</w:t>
      </w:r>
    </w:p>
    <w:p>
      <w:pPr>
        <w:pStyle w:val="FirstParagraph"/>
      </w:pPr>
      <w:r>
        <w:t xml:space="preserve">The strongest randomised evidence for SSTAE is in adolescents with sport-related concussion in the early window; the adult and persistent-symptom evidence, while supportive, is thinner and calls for better trials [14]. A digital delivery tool inherits this evidence base — it can make faithful delivery of an evidence-based prescription easier and more measurable, but it does not, by itself, constitute new efficacy evidence. The defensible claim for such software is verification-by-design and faithful delivery, not a new clinical outcome. A retrospective, observational analysis of de-identified routine-care data (serial HRt trajectories, adherence, time-to-clearance) accumulated through normal clinical use is the appropriate first step towards outcome evidence; an efficacy claim would additionally require prospective controlled evaluation.</w:t>
      </w:r>
    </w:p>
    <w:p>
      <w:pPr>
        <w:pStyle w:val="BodyText"/>
      </w:pPr>
      <w:r>
        <w:t xml:space="preserve">Digital delivery is also not a free good, and the case for it should not be made one-sidedly. Whether a wearable-guided app actually improves between-visit delivery is itself an empirical question, not a given: app-based adherence commonly decays over weeks [27]; live heart-rate feedback can be misread under exertion or anxiety; consumer optical sensors are less accurate during exercise — exactly when the measurement matters [19]; and any tool introduces equity and access concerns — the cost of a wearable, smartphone and data, and a digital-literacy and language barrier that can widen rather than narrow disparities in who receives faithful rehabilitation. Privacy and data-governance obligations attach to any between-visit clinical data flow. These are the reasons the contribution is framed as verification-by-design and a measurable delivery substrate — and why its real-world value, like its efficacy, is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And the prescription addresses only the physiological phenotype —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heart-rate threshold from a standardised graded test,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strict in never fabricating that signal, and built to carry the safety logic and report back to the prescriber are candidate instruments for closing that gap. The contribution such tools offer is integration and faithful, verifiable delivery of an established treatment — not new physiology, and not, on their own, new outcome evidence. Whether they deliver that promise in practice — improving adherence and real-world delivery without widening access disparities — is precisely the question the next phase of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founder of Concussion Education Australia and the developer of the SST Trainer software,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8"/>
    <w:bookmarkStart w:id="29" w:name="references"/>
    <w:p>
      <w:pPr>
        <w:pStyle w:val="Heading2"/>
      </w:pPr>
      <w:r>
        <w:t xml:space="preserve">References</w:t>
      </w:r>
    </w:p>
    <w:p>
      <w:pPr>
        <w:pStyle w:val="Compact"/>
        <w:numPr>
          <w:ilvl w:val="0"/>
          <w:numId w:val="1008"/>
        </w:numPr>
      </w:pPr>
      <w:r>
        <w:t xml:space="preserve">Thomas DG, Apps JN, Hoffmann RG, McCrea M, Hammeke T. Benefits of strict rest after acute concussion: a randomized controlled trial.</w:t>
      </w:r>
      <w:r>
        <w:t xml:space="preserve"> </w:t>
      </w:r>
      <w:r>
        <w:rPr>
          <w:i/>
          <w:iCs/>
        </w:rPr>
        <w:t xml:space="preserve">Pediatrics.</w:t>
      </w:r>
      <w:r>
        <w:t xml:space="preserve"> </w:t>
      </w:r>
      <w:r>
        <w:t xml:space="preserve">2015;135(2):213–223. doi:10.1542/peds.2014-0966</w:t>
      </w:r>
    </w:p>
    <w:p>
      <w:pPr>
        <w:pStyle w:val="Compact"/>
        <w:numPr>
          <w:ilvl w:val="0"/>
          <w:numId w:val="1008"/>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8"/>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8"/>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8"/>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8"/>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8"/>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8"/>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8"/>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8"/>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8"/>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8"/>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8"/>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8"/>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8"/>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8"/>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8"/>
        </w:numPr>
      </w:pPr>
      <w:r>
        <w:t xml:space="preserve">Stone AA, Shiffman S, Schwartz JE, Broderick JE, Hufford MR. Patient non-compliance with paper diaries.</w:t>
      </w:r>
      <w:r>
        <w:t xml:space="preserve"> </w:t>
      </w:r>
      <w:r>
        <w:rPr>
          <w:i/>
          <w:iCs/>
        </w:rPr>
        <w:t xml:space="preserve">BMJ.</w:t>
      </w:r>
      <w:r>
        <w:t xml:space="preserve"> </w:t>
      </w:r>
      <w:r>
        <w:t xml:space="preserve">2002;324(7347):1193–1194. doi:10.1136/bmj.324.7347.1193</w:t>
      </w:r>
    </w:p>
    <w:p>
      <w:pPr>
        <w:pStyle w:val="Compact"/>
        <w:numPr>
          <w:ilvl w:val="0"/>
          <w:numId w:val="1008"/>
        </w:numPr>
      </w:pPr>
      <w:r>
        <w:t xml:space="preserve">Coppetti T, Brauchlin A, Müggler S, et al. Accuracy of smartphone apps for heart rate measurement.</w:t>
      </w:r>
      <w:r>
        <w:t xml:space="preserve"> </w:t>
      </w:r>
      <w:r>
        <w:rPr>
          <w:i/>
          <w:iCs/>
        </w:rPr>
        <w:t xml:space="preserve">Eur J Prev Cardiol.</w:t>
      </w:r>
      <w:r>
        <w:t xml:space="preserve"> </w:t>
      </w:r>
      <w:r>
        <w:t xml:space="preserve">2017;24(12):1287–1293. doi:10.1177/2047487317702044</w:t>
      </w:r>
    </w:p>
    <w:p>
      <w:pPr>
        <w:pStyle w:val="Compact"/>
        <w:numPr>
          <w:ilvl w:val="0"/>
          <w:numId w:val="1008"/>
        </w:numPr>
      </w:pPr>
      <w:r>
        <w:t xml:space="preserve">Gillinov S, Etiwy M, Wang R, et al. Variable accuracy of wearable heart rate monitors during aerobic exercise.</w:t>
      </w:r>
      <w:r>
        <w:t xml:space="preserve"> </w:t>
      </w:r>
      <w:r>
        <w:rPr>
          <w:i/>
          <w:iCs/>
        </w:rPr>
        <w:t xml:space="preserve">Med Sci Sports Exerc.</w:t>
      </w:r>
      <w:r>
        <w:t xml:space="preserve"> </w:t>
      </w:r>
      <w:r>
        <w:t xml:space="preserve">2017;49(8):1697–1703. doi:10.1249/MSS.0000000000001284</w:t>
      </w:r>
    </w:p>
    <w:p>
      <w:pPr>
        <w:pStyle w:val="Compact"/>
        <w:numPr>
          <w:ilvl w:val="0"/>
          <w:numId w:val="1008"/>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8"/>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8"/>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8"/>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8"/>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8"/>
        </w:numPr>
      </w:pPr>
      <w:r>
        <w:t xml:space="preserve">US Food and Drug Administration. 510(k) premarket notification K241737 (Sway Medical, Inc.). Decision date February 2025. https://www.accessdata.fda.gov/scripts/cdrh/cfdocs/cfpmn/pmn.cfm?ID=K241737 (accessed 12 August 2026).</w:t>
      </w:r>
    </w:p>
    <w:p>
      <w:pPr>
        <w:pStyle w:val="Compact"/>
        <w:numPr>
          <w:ilvl w:val="0"/>
          <w:numId w:val="1008"/>
        </w:numPr>
      </w:pPr>
      <w:r>
        <w:t xml:space="preserve">Varnfield M, Karunanithi M, Lee CK, et al. Smartphone-based home care model improved use of cardiac rehabilitation in postmyocardial infarction patients: results from a randomised controlled trial.</w:t>
      </w:r>
      <w:r>
        <w:t xml:space="preserve"> </w:t>
      </w:r>
      <w:r>
        <w:rPr>
          <w:i/>
          <w:iCs/>
        </w:rPr>
        <w:t xml:space="preserve">Heart.</w:t>
      </w:r>
      <w:r>
        <w:t xml:space="preserve"> </w:t>
      </w:r>
      <w:r>
        <w:t xml:space="preserve">2014;100(22):1770–1779. doi:10.1136/heartjnl-2014-305783</w:t>
      </w:r>
    </w:p>
    <w:p>
      <w:pPr>
        <w:pStyle w:val="Compact"/>
        <w:numPr>
          <w:ilvl w:val="0"/>
          <w:numId w:val="1008"/>
        </w:numPr>
      </w:pPr>
      <w:r>
        <w:t xml:space="preserve">Eysenbach G. The law of attrition.</w:t>
      </w:r>
      <w:r>
        <w:t xml:space="preserve"> </w:t>
      </w:r>
      <w:r>
        <w:rPr>
          <w:i/>
          <w:iCs/>
        </w:rPr>
        <w:t xml:space="preserve">J Med Internet Res.</w:t>
      </w:r>
      <w:r>
        <w:t xml:space="preserve"> </w:t>
      </w:r>
      <w:r>
        <w:t xml:space="preserve">2005;7(1):e11. doi:10.2196/jmir.7.1.e11</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2026-08-12T05:24:57Z</dcterms:created>
  <dcterms:modified xsi:type="dcterms:W3CDTF">2026-08-12T05:24:57Z</dcterms:modified>
</cp:coreProperties>
</file>

<file path=docProps/custom.xml><?xml version="1.0" encoding="utf-8"?>
<Properties xmlns="http://schemas.openxmlformats.org/officeDocument/2006/custom-properties" xmlns:vt="http://schemas.openxmlformats.org/officeDocument/2006/docPropsVTypes"/>
</file>