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framed by the author and informed by the trial procedures and the delivery-gap analysis: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the one randomised trial of strict rest found a higher symptom burden and slower symptom resolution than usual care [1].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[2].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[3]. Exercise intolerance is common and clinically meaningful: in one exploratory cohort of 100 adults with persistent post-concussive symptoms, over 80% tested positive for exercise intolerance, and a higher symptom burden was associated with higher odds of testing positive [4]. This matters because it means the phenotype is (a) apparently common,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[5]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[6]. The protocol — walk at a fixed starting speed, then increase the incline by 1° each minute for 15 stages, after which the speed increases — was chosen precisely because the Balke ramp is gentle, well-validated and established as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[7],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[8]),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[8].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[9].</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[10].</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roughly halved the risk of persistent post-concussive symptoms (hazard ratio for stretching versus aerobic exercise 0.52, 95% CI 0.28–0.97, p=0.039) and shortened recovery, with good adherence and no adverse events [11].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[12]. Systematic synthesis for the Amsterdam process concluded that early rest beyond 24–48 hours confers no benefit and that prescribed sub-symptom-threshold aerobic exercise is beneficial [13]. A separate review noted that, while the adolescent evidence is strong, good-quality trials in adults and on broader outcomes are still needed [14].</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[15], and one giving a standardised programme in the absence of graded exercise testing [16].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[6].</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[9–11,14].</w:t>
      </w:r>
    </w:p>
    <w:p>
      <w:pPr>
        <w:pStyle w:val="Compact"/>
        <w:numPr>
          <w:ilvl w:val="0"/>
          <w:numId w:val="1004"/>
        </w:numPr>
      </w:pPr>
      <w:r>
        <w:rPr>
          <w:b/>
          <w:bCs/>
        </w:rPr>
        <w:t xml:space="preserve">Dose:</w:t>
      </w:r>
      <w:r>
        <w:t xml:space="preserve"> </w:t>
      </w:r>
      <w:r>
        <w:t xml:space="preserve">~20 minutes, most days of the week [10,11].</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[5].</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[15,16].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[10,11].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[17]. Serial HRt — the objective recovery curve — has to date been captured mainly within research protocols [10,11].</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[9–11], the gap analysis in Section 3, and software-safety considerations,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[10,11] — converts an abstract bpm range into a moment-to-moment</w:t>
      </w:r>
      <w:r>
        <w:t xml:space="preserve"> </w:t>
      </w:r>
      <w:r>
        <w:t xml:space="preserve">“in zone / over / under”</w:t>
      </w:r>
      <w:r>
        <w:t xml:space="preserve"> </w:t>
      </w:r>
      <w:r>
        <w:t xml:space="preserve">signal. This is a direct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limits attach to any implementation: optical heart-rate measurement degrades with motion — smartphone-camera apps show variable accuracy [18] and wrist-worn optical sensors are least accurate during aerobic exercise [19] — so a phone-camera estimate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It would be wrong to imply that no one has digitised this prescription. Any novelty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[20]. Its published protocol, however, guides users to a fixed ~60% ± 5% of age-predicted maximal heart rate (220 − age), with no graded test to individualise the threshold; individualisation is limited to in-app same/better/worse symptom feedback [21]. The published descriptions do not report a dedicated clinician dashboard [20,21]. An RCT from the same group has likewise delivered early aerobic exercise using a progressive percentage of age-predicted maximal heart rate [22].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[23].</w:t>
      </w:r>
    </w:p>
    <w:p>
      <w:pPr>
        <w:pStyle w:val="Compact"/>
        <w:numPr>
          <w:ilvl w:val="0"/>
          <w:numId w:val="1007"/>
        </w:numPr>
      </w:pPr>
      <w:r>
        <w:t xml:space="preserve">The pivotal Buffalo trials themselves delivered individualised HRt-based home exercise with wearable heart-rate monitoring — 80% of HRt with a home heart-rate monitor [10], and a serial-HRt-updated prescription with weekly BCTT recheck [11].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the Complete Concussion Management Inc. (CCMI) and Wibbi partnership (announced December 2025) embeds concussion protocols in a digital home-exercise-programme platform with outcome tracking [24]. The published description reports real-time outcome tracking and progress monitoring; it does not describe digital delivery of a serial measured-HRt curve [24].</w:t>
      </w:r>
    </w:p>
    <w:p>
      <w:pPr>
        <w:pStyle w:val="Compact"/>
        <w:numPr>
          <w:ilvl w:val="0"/>
          <w:numId w:val="1007"/>
        </w:numPr>
      </w:pPr>
      <w:r>
        <w:t xml:space="preserve">Concussion</w:t>
      </w:r>
      <w:r>
        <w:t xml:space="preserve"> </w:t>
      </w:r>
      <w:r>
        <w:rPr>
          <w:i/>
          <w:iCs/>
        </w:rPr>
        <w:t xml:space="preserve">assessment</w:t>
      </w:r>
      <w:r>
        <w:t xml:space="preserve"> </w:t>
      </w:r>
      <w:r>
        <w:t xml:space="preserve">platforms (e.g. Sway [25]) digitise symptom, balance and cognitive testing; their published descriptions include no exertion- or heart-rate-guided therapy. Supervised heart-rate-zone training is a familiar pattern in app-based cardiac rehabilitation [26]; this review’s mapping identified no equivalently supervised,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[20,21]; the CCMI–Wibbi module’s published description reports outcome tracking rather than a serial measured-HRt curve [24].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[14]. A digital delivery tool inherits this evidence base — it can make faithful delivery of an evidence-based prescription easier and more measurable, but it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[27]; live heart-rate feedback can be misread under exertion or anxiety; consumer optical sensors are least accurate at exactly the exercising heart rates that matter [19];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8"/>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8"/>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8"/>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8"/>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2026-08-12T05:12:38Z</dcterms:created>
  <dcterms:modified xsi:type="dcterms:W3CDTF">2026-08-12T05:12:38Z</dcterms:modified>
</cp:coreProperties>
</file>

<file path=docProps/custom.xml><?xml version="1.0" encoding="utf-8"?>
<Properties xmlns="http://schemas.openxmlformats.org/officeDocument/2006/custom-properties" xmlns:vt="http://schemas.openxmlformats.org/officeDocument/2006/docPropsVTypes"/>
</file>