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framed by the author and informed by the trial procedures and the delivery-gap analysis: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the prescription presumes an individualised, invisible heart-rate ceiling is respected during unsupervised home sessions.</w:t>
      </w:r>
    </w:p>
    <w:p>
      <w:pPr>
        <w:pStyle w:val="Compact"/>
        <w:numPr>
          <w:ilvl w:val="0"/>
          <w:numId w:val="1001"/>
        </w:numPr>
      </w:pPr>
      <w:r>
        <w:t xml:space="preserve">Between-visit delivery typically goes unobserved: the data that make the prescription safe to progress — live heart rate against the prescribed band, completed-session records, next-day symptom responses, and serial thresholds — are data that ordinary clinical workflows are not set up to capture.</w:t>
      </w:r>
    </w:p>
    <w:p>
      <w:pPr>
        <w:pStyle w:val="Compact"/>
        <w:numPr>
          <w:ilvl w:val="0"/>
          <w:numId w:val="1001"/>
        </w:numPr>
      </w:pPr>
      <w:r>
        <w:t xml:space="preserve">Digital delivery tools are candidate instruments for closing this gap; this review proposes that they should never fabricate the heart-rate signal, should gate progression on verified sessions, and should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[2].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[3]. Exercise intolerance is common and clinically meaningful: in one exploratory cohort of 100 adults with persistent post-concussive symptoms, over 80% tested positive for exercise intolerance, and a higher symptom burden was associated with higher odds of testing positive [4]. This matters because it means the phenotype is (a) apparently common,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[5]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[6].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[7],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was associated with prolonged (&gt;21-day) recovery in an earlier cohort from the same group (as cited in [8]),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[8]. A single test that both prescribes the dose and stratifies recovery risk is clinically valuable — and serial HRt becomes an objective recovery trajectory rather than a subjective symptom diary.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[9].</w:t>
      </w:r>
    </w:p>
    <w:p>
      <w:pPr>
        <w:pStyle w:val="BodyText"/>
      </w:pPr>
      <w:r>
        <w:rPr>
          <w:b/>
          <w:bCs/>
        </w:rPr>
        <w:t xml:space="preserve">Pivotal RCT (JAMA Pediatrics, 2019).</w:t>
      </w:r>
      <w:r>
        <w:t xml:space="preserve"> </w:t>
      </w:r>
      <w:r>
        <w:t xml:space="preserve">In a randomised clinical trial of 103 adolescents (aged 13–18) in the acute phase of sport-related concussion, sub-symptom-threshold aerobic exercise versus a placebo-like stretching programme accelerated recovery: median recovery 13 days versus 17 days, a statistically significant difference [10].</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roughly halved the risk of persistent post-concussive symptoms (the trial’s reported hazard ratio for stretching versus aerobic exercise: 0.52, 95% CI 0.28–0.97, p=0.039) and shortened recovery, with good adherence and no adverse events [11].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[12]. Systematic synthesis for the Amsterdam process concluded that early rest beyond 24–48 hours confers no benefit and that prescribed sub-symptom-threshold aerobic exercise is beneficial [13]. A separate review noted that, while the adolescent evidence is strong, good-quality trials in adults and on broader outcomes are still needed [14].</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[15], and one giving a standardised programme in the absence of graded exercise testing [16].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[6].</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[9–11,14].</w:t>
      </w:r>
    </w:p>
    <w:p>
      <w:pPr>
        <w:pStyle w:val="Compact"/>
        <w:numPr>
          <w:ilvl w:val="0"/>
          <w:numId w:val="1004"/>
        </w:numPr>
      </w:pPr>
      <w:r>
        <w:rPr>
          <w:b/>
          <w:bCs/>
        </w:rPr>
        <w:t xml:space="preserve">Dose:</w:t>
      </w:r>
      <w:r>
        <w:t xml:space="preserve"> </w:t>
      </w:r>
      <w:r>
        <w:t xml:space="preserve">~20 minutes, most days of the week [10,11].</w:t>
      </w:r>
    </w:p>
    <w:p>
      <w:pPr>
        <w:pStyle w:val="Compact"/>
        <w:numPr>
          <w:ilvl w:val="0"/>
          <w:numId w:val="1004"/>
        </w:numPr>
      </w:pPr>
      <w:r>
        <w:rPr>
          <w:b/>
          <w:bCs/>
        </w:rPr>
        <w:t xml:space="preserve">Within-session stop rule:</w:t>
      </w:r>
      <w:r>
        <w:t xml:space="preserve"> </w:t>
      </w:r>
      <w:r>
        <w:t xml:space="preserve">stop if symptoms rise more than 2 points above pre-session — the complement of the consensus’s up-to-2-point tolerance band [5].</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[15,16].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[10,11].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[17]. Serial HRt — the objective recovery curve — has to date been captured mainly within research protocols [10,11].</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[9–11], the gap analysis in Section 3, and software-safety considerations, and stated at the level of requirements, independent of any vendor or product; Section 4.2 then locates the existing tools — including, with disclosed interest, the author’s — against them. The portable, repeatable prescription of Sections 2.4 and 2.5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[10,11] — converts an abstract bpm range into a moment-to-moment</w:t>
      </w:r>
      <w:r>
        <w:t xml:space="preserve"> </w:t>
      </w:r>
      <w:r>
        <w:t xml:space="preserve">“in zone / over / under”</w:t>
      </w:r>
      <w:r>
        <w:t xml:space="preserve"> </w:t>
      </w:r>
      <w:r>
        <w:t xml:space="preserve">signal. This is a direct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limits attach to any implementation: optical heart-rate measurement degrades with motion — smartphone-camera apps show variable accuracy [18] and wrist-worn optical sensors are least accurate during aerobic exercise [19] — so a phone-camera estimate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It would be wrong to imply that no one has digitised this prescription. Any novelty claim must be made against the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[20]. Its published protocol, however, guides users to a fixed ~60% ± 5% of age-predicted maximal heart rate (220 − age), with no graded test to individualise the threshold; individualisation is limited to in-app same/better/worse symptom feedback [21]. The published descriptions do not report a dedicated clinician dashboard [20,21]. An RCT from the same group has likewise delivered early aerobic exercise using a progressive percentage of age-predicted maximal heart rate [22].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[23].</w:t>
      </w:r>
    </w:p>
    <w:p>
      <w:pPr>
        <w:pStyle w:val="Compact"/>
        <w:numPr>
          <w:ilvl w:val="0"/>
          <w:numId w:val="1007"/>
        </w:numPr>
      </w:pPr>
      <w:r>
        <w:t xml:space="preserve">The pivotal Buffalo trials themselves delivered individualised HRt-based home exercise with wearable heart-rate monitoring — 80% of HRt with a home heart-rate monitor [10], and a serial-HRt-updated prescription with weekly BCTT recheck [11].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[24]. The published description reports real-time outcome monitoring and progress tracking; it does not describe digital delivery of a serial measured-HRt curve [24].</w:t>
      </w:r>
    </w:p>
    <w:p>
      <w:pPr>
        <w:pStyle w:val="Compact"/>
        <w:numPr>
          <w:ilvl w:val="0"/>
          <w:numId w:val="1007"/>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[25] — and none identified by the mapping delivers exertion- or heart-rate-guided therapy. Remotely monitored, app-supported exercise rehabilitation with structured clinician review is an established pattern in cardiac care [26];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[20,21]; the CCMI–Wibbi module’s published description reports outcome monitoring and progress tracking rather than a serial measured-HRt curve [24].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[16,22],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and located against the same criteria as its comparators; consistent with Section 5, no efficacy claim is made for it.</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[14]. A digital delivery tool inherits this evidence base — it can make faithful delivery of an evidence-based prescription easier and more measurable, but it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towards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[27]; live heart-rate feedback can be misread under exertion or anxiety; consumer optical sensors are least accurate at exactly the exercising heart rates that matter [19];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8"/>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8"/>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8"/>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8"/>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2026-08-12T05:18:33Z</dcterms:created>
  <dcterms:modified xsi:type="dcterms:W3CDTF">2026-08-12T05:18:33Z</dcterms:modified>
</cp:coreProperties>
</file>

<file path=docProps/custom.xml><?xml version="1.0" encoding="utf-8"?>
<Properties xmlns="http://schemas.openxmlformats.org/officeDocument/2006/custom-properties" xmlns:vt="http://schemas.openxmlformats.org/officeDocument/2006/docPropsVTypes"/>
</file>