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APPENDIX C</w:t>
      </w:r>
    </w:p>
    <w:p>
      <w:pPr>
        <w:jc w:val="center"/>
      </w:pPr>
      <w:r>
        <w:rPr>
          <w:b/>
          <w:bCs/>
          <w:sz w:val="26"/>
          <w:szCs w:val="26"/>
        </w:rPr>
        <w:t xml:space="preserve">15-Pathway Clinical Distress Mapping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Multi-Turn Interaction Analysis Framework</w:t>
      </w:r>
    </w:p>
    <w:p>
      <w:pPr>
        <w:pStyle w:val="Heading1"/>
      </w:pPr>
      <w:r>
        <w:t xml:space="preserve">DISTRESS PATHWAY LEGEND</w:t>
      </w:r>
    </w:p>
    <w:p>
      <w:pPr>
        <w:spacing w:after="200"/>
      </w:pPr>
      <w:r>
        <w:t xml:space="preserve">15 pathways derived from established clinical constructs in CBT, DBT, attachment theory, and stress physiology literature.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Pathway Name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Clinical Construct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Sympathetic Activation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Fight-or-flight response; chronic stress physiology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Maladaptive Coping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Avoidance behaviors; unhealthy escape patterns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Demand-Control Imbalance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Work-stress model; burnout pathway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Interpersonal Distrust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Relational suspicion; trust erosion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Psychopathological Burden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Symptom amplification; condition exacerbation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Rumination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Cyclical repetitive thinking; obsessive focus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Catastrophizing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Amplified negative outcome anticipation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Social Isolation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Withdrawal from human connections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Perfectionism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Impossible standards; harsh self-criticism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J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Emotional Dysregulation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Mood instability; affective volatility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Cognitive Distortions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Biased interpretations; all-or-nothing thinking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Burnout / Exhaustion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Progressive resource depletion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Imposter Syndrome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Feelings of fraudulence; inadequacy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Attachment Dysfunction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Insecure bonding patterns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Trauma Reactivation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Re-experiencing past traumatic events</w:t>
            </w:r>
          </w:p>
        </w:tc>
      </w:tr>
    </w:tbl>
    <w:p>
      <w:pPr>
        <w:pStyle w:val="Heading1"/>
      </w:pPr>
      <w:r>
        <w:t xml:space="preserve">MECHANISM × PATHWAY MAPPING</w:t>
      </w:r>
    </w:p>
    <w:p>
      <w:pPr>
        <w:spacing w:after="120"/>
      </w:pPr>
      <w:r>
        <w:t xml:space="preserve">Full mapping contains </w:t>
      </w:r>
      <w:r>
        <w:rPr>
          <w:b/>
          <w:bCs/>
        </w:rPr>
        <w:t xml:space="preserve">95+ tactical mechanisms</w:t>
      </w:r>
      <w:r>
        <w:t xml:space="preserve"> across 6 categories (A–F) plus </w:t>
      </w:r>
      <w:r>
        <w:rPr>
          <w:b/>
          <w:bCs/>
        </w:rPr>
        <w:t xml:space="preserve">12 integrity patterns</w:t>
      </w:r>
      <w:r>
        <w:t xml:space="preserve"> (ID-01 to ID-12).</w:t>
      </w:r>
    </w:p>
    <w:p>
      <w:pPr>
        <w:shd w:fill="F2F2F2" w:val="clear"/>
        <w:spacing w:before="120" w:after="200"/>
        <w:ind w:left="360" w:right="360"/>
      </w:pPr>
      <w:r>
        <w:rPr>
          <w:i/>
          <w:iCs/>
          <w:color w:val="666666"/>
        </w:rPr>
        <w:t xml:space="preserve">[Detailed mechanism-pathway matrix with clinical rationales available to funded research collaborators]</w:t>
      </w:r>
    </w:p>
    <w:p>
      <w:pPr>
        <w:pStyle w:val="Heading2"/>
      </w:pPr>
      <w:r>
        <w:t xml:space="preserve">Mechanism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Behavioral Manipulation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Cognitive Exploitation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Emotional Engineering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Relational Dynamics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Procedural Failures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t xml:space="preserve">Systemic Patterns</w:t>
            </w:r>
          </w:p>
        </w:tc>
      </w:tr>
    </w:tbl>
    <w:p>
      <w:pPr>
        <w:pStyle w:val="Heading1"/>
      </w:pPr>
      <w:r>
        <w:t xml:space="preserve">INTEGRITY DIMENSIONS (ID-01 to ID-12)</w:t>
      </w:r>
    </w:p>
    <w:p>
      <w:pPr>
        <w:spacing w:after="120"/>
      </w:pPr>
      <w:r>
        <w:t xml:space="preserve">Orthogonal to tactical mechanisms. Evaluates consistency between stated values and observed behavior, disclosure practices, and stability under pressure.</w:t>
      </w:r>
    </w:p>
    <w:p>
      <w:pPr>
        <w:shd w:fill="F2F2F2" w:val="clear"/>
        <w:spacing w:before="120" w:after="200"/>
        <w:ind w:left="360" w:right="360"/>
      </w:pPr>
      <w:r>
        <w:rPr>
          <w:i/>
          <w:iCs/>
          <w:color w:val="666666"/>
        </w:rPr>
        <w:t xml:space="preserve">[Detailed integrity patterns and scoring criteria available to funded research collaborators]</w:t>
      </w:r>
    </w:p>
    <w:p>
      <w:pPr>
        <w:pStyle w:val="Heading1"/>
      </w:pPr>
      <w:r>
        <w:t xml:space="preserve">MAPPING METHODOLOGY</w:t>
      </w:r>
    </w:p>
    <w:p>
      <w:pPr>
        <w:spacing w:after="120"/>
      </w:pPr>
      <w:r>
        <w:t xml:space="preserve">Each mechanism-pathway mapping is established through:</w:t>
      </w:r>
    </w:p>
    <w:p>
      <w:pPr>
        <w:ind w:left="720"/>
      </w:pPr>
      <w:r>
        <w:rPr>
          <w:b/>
          <w:bCs/>
        </w:rPr>
        <w:t xml:space="preserve">(1) </w:t>
      </w:r>
      <w:r>
        <w:t xml:space="preserve">Identification of the specific AI behavior pattern</w:t>
      </w:r>
    </w:p>
    <w:p>
      <w:pPr>
        <w:ind w:left="720"/>
      </w:pPr>
      <w:r>
        <w:rPr>
          <w:b/>
          <w:bCs/>
        </w:rPr>
        <w:t xml:space="preserve">(2) </w:t>
      </w:r>
      <w:r>
        <w:t xml:space="preserve">Analysis of the psychological mechanism by which impact occurs</w:t>
      </w:r>
    </w:p>
    <w:p>
      <w:pPr>
        <w:ind w:left="720"/>
      </w:pPr>
      <w:r>
        <w:rPr>
          <w:b/>
          <w:bCs/>
        </w:rPr>
        <w:t xml:space="preserve">(3) </w:t>
      </w:r>
      <w:r>
        <w:t xml:space="preserve">Correlation with established clinical constructs from CBT, DBT, attachment theory, and stress physiology literature</w:t>
      </w:r>
    </w:p>
    <w:p>
      <w:pPr>
        <w:spacing w:after="200"/>
        <w:ind w:left="720"/>
      </w:pPr>
      <w:r>
        <w:rPr>
          <w:b/>
          <w:bCs/>
        </w:rPr>
        <w:t xml:space="preserve">(4) </w:t>
      </w:r>
      <w:r>
        <w:t xml:space="preserve">Validation against documented instances in the research corpus</w:t>
      </w:r>
    </w:p>
    <w:p>
      <w:pPr>
        <w:spacing w:after="200"/>
      </w:pPr>
      <w:r>
        <w:rPr>
          <w:b/>
          <w:bCs/>
        </w:rPr>
        <w:t xml:space="preserve">Compound pathway activation </w:t>
      </w:r>
      <w:r>
        <w:t xml:space="preserve">(multiple codes per mechanism) indicates that a single AI behavior can trigger multiple distinct distress pathways simultaneously, explaining why seemingly minor interaction patterns can produce significant cumulative psychological impact.</w:t>
      </w:r>
    </w:p>
    <w:p>
      <w:pPr>
        <w:spacing w:before="400"/>
        <w:jc w:val="center"/>
      </w:pPr>
      <w:r>
        <w:rPr>
          <w:b/>
          <w:bCs/>
        </w:rPr>
        <w:t xml:space="preserve">— END OF APPENDIX C —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Full mechanism catalog and pathway rationales available to funded research collaborators.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2025-12-19T23:56:01.674Z</dcterms:created>
  <dcterms:modified xsi:type="dcterms:W3CDTF">2025-12-19T23:56:01.675Z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