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90" w:before="220"/>
      </w:pPr>
      <w:r>
        <w:t xml:space="preserve">Msingi — School Leadership Guide</w:t>
      </w:r>
    </w:p>
    <w:p>
      <w:pPr>
        <w:spacing w:after="100" w:line="276"/>
      </w:pPr>
      <w:r>
        <w:rPr>
          <w:b/>
          <w:bCs/>
        </w:rPr>
        <w:t xml:space="preserve">Audience:</w:t>
      </w:r>
      <w:r>
        <w:t xml:space="preserve"> Principals, Deputy Principals, and Section Heads using Msingi for school oversight. This guide covers common leadership review and decision workflows; it is not a substitute for the detailed specialist guides or the school’s governance policy.</w:t>
      </w:r>
    </w:p>
    <w:p>
      <w:pPr>
        <w:pStyle w:val="Heading1"/>
        <w:keepNext/>
        <w:spacing w:after="90" w:before="150"/>
      </w:pPr>
      <w:r>
        <w:t xml:space="preserve">1. Know your access level</w:t>
      </w:r>
    </w:p>
    <w:p>
      <w:pPr>
        <w:spacing w:after="100" w:line="276"/>
      </w:pPr>
      <w:r>
        <w:t xml:space="preserve">Leadership titles do not all mean the same system authority. The current built-in defaults give Principals and Deputy Principals broad school-operation permissions across students, attendance, grades, exams, behaviour, timetable, admissions, lessons, resources, medical, inventory, and report cards. The Section Head default is narrower: many modules are read-only, with class/section scope and limited write access to lessons, messages, resources, and Growth Profile.</w:t>
      </w:r>
    </w:p>
    <w:p>
      <w:pPr>
        <w:spacing w:after="100" w:line="276"/>
      </w:pPr>
      <w:r>
        <w:rPr>
          <w:b/>
          <w:bCs/>
        </w:rPr>
        <w:t xml:space="preserve">A Principal/Deputy is not automatically a Superadmin.</w:t>
      </w:r>
      <w:r>
        <w:t xml:space="preserve"> School Settings, user/role grants, data backup, and platform-level controls are governed by their own permissions and should be assigned deliberately. Never assume access based on a title; the visible menu and action-level permission are decisive. A section head may see only the students/classes in their section.</w:t>
      </w:r>
    </w:p>
    <w:p>
      <w:pPr>
        <w:pStyle w:val="Heading1"/>
        <w:keepNext/>
        <w:spacing w:after="90" w:before="150"/>
      </w:pPr>
      <w:r>
        <w:t xml:space="preserve">2. Start with the dashboard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Sign in with your own account and check the school and role shown.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dashboard KPIs, alerts, current term/year, recent enrolments, upcoming events, and announcements.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Treat KPI cards as a prompt to inspect the owning module, not as the underlying source record.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If a dashboard figure conflicts with the source module, record the filter/date window and ask the module owner to reconcile it.</w:t>
      </w:r>
    </w:p>
    <w:p>
      <w:pPr>
        <w:pStyle w:val="Heading1"/>
        <w:keepNext/>
        <w:spacing w:after="90" w:before="150"/>
      </w:pPr>
      <w:r>
        <w:t xml:space="preserve">3. Review student and class information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Students</w:t>
      </w:r>
      <w:r>
        <w:t xml:space="preserve"> and search by admission number or full name.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class, stream, section, active status, and the relevant student-profile tab.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Use the student-specific academic, attendance, behaviour, medical, or support record to review the source details.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For a missing or incorrect class/stream, check the placement in the student/class workflow and have an authorized staff member correct it there. Do not use a report or snapshot as the repair point.</w:t>
      </w:r>
    </w:p>
    <w:p>
      <w:pPr>
        <w:spacing w:after="100" w:line="276"/>
      </w:pPr>
      <w:r>
        <w:t xml:space="preserve">Student medical/guardian information is sensitive. Access only the details needed for your responsibility and share through approved channels.</w:t>
      </w:r>
    </w:p>
    <w:p>
      <w:pPr>
        <w:pStyle w:val="Heading1"/>
        <w:keepNext/>
        <w:spacing w:after="90" w:before="150"/>
      </w:pPr>
      <w:r>
        <w:t xml:space="preserve">4. Monitor teaching, attendance, and curriculum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Attendance:</w:t>
      </w:r>
      <w:r>
        <w:t xml:space="preserve"> inspect the class/day register and any permitted exceptions; confirm the teacher has saved the correct register before asking for correction.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Curriculum and lessons:</w:t>
      </w:r>
      <w:r>
        <w:t xml:space="preserve"> review coverage/plans by assigned class and subject. A missing topic or curriculum item should be resolved in the curriculum/lesson workflow, not by duplicating plans.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Timetable:</w:t>
      </w:r>
      <w:r>
        <w:t xml:space="preserve"> view the published schedule and report conflicts to the Timetabler. Editing/publishing the full school timetable requires the relevant scheduling capability.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Weekly Snapshot:</w:t>
      </w:r>
      <w:r>
        <w:t xml:space="preserve"> use it as a generated digest. If an entry is wrong, correct the attendance, grade, behaviour, or other source record and wait for the snapshot refresh/process.</w:t>
      </w:r>
    </w:p>
    <w:p>
      <w:pPr>
        <w:pStyle w:val="Heading1"/>
        <w:keepNext/>
        <w:spacing w:after="90" w:before="150"/>
      </w:pPr>
      <w:r>
        <w:t xml:space="preserve">5. Review behaviour and pastoral cases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Behaviour → Appeals</w:t>
      </w:r>
      <w:r>
        <w:t xml:space="preserve"> or the relevant incident view.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student identity, incident, evidence, and appeal reason.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Follow the school’s pastoral/safeguarding review route and use the decision/escalation action available to your role.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Record a concise, factual note and confirm the resulting appeal state.</w:t>
      </w:r>
    </w:p>
    <w:p>
      <w:pPr>
        <w:spacing w:after="100" w:line="276"/>
      </w:pPr>
      <w:r>
        <w:t xml:space="preserve">Do not change an incident or point total solely to clear an alert. The Behaviour Officer Guide describes incident, appeal, stage, and reset workflows in detail.</w:t>
      </w:r>
    </w:p>
    <w:p>
      <w:pPr>
        <w:pStyle w:val="Heading1"/>
        <w:keepNext/>
        <w:spacing w:after="90" w:before="150"/>
      </w:pPr>
      <w:r>
        <w:t xml:space="preserve">6. Review marks and report cards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 </w:t>
      </w:r>
      <w:r>
        <w:rPr>
          <w:b/>
          <w:bCs/>
        </w:rPr>
        <w:t xml:space="preserve">Exams → Markbook</w:t>
      </w:r>
      <w:r>
        <w:t xml:space="preserve">, select the academic year, term, class, subject, stream where needed, assessment, and instance.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Check save/conflict status and investigate missing marks before requesting re-entry. The Markbook is the current source for assessment marks; older Exams → Results records are legacy and must be reconciled before migration.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draft comments through the Report Cards workflow. Subject comments and class/form-teacher remarks have distinct permissions and assignment rules.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Before publishing, confirm the class/term, marks, comments, grading settings, validation warnings, and report count.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Publish only if your role grants the publish action and school policy assigns you this responsibility. Publishing creates the report snapshot and locks relevant marks; post-publish corrections use the controlled correction/unlock process.</w:t>
      </w:r>
    </w:p>
    <w:p>
      <w:pPr>
        <w:spacing w:after="100" w:line="276"/>
      </w:pPr>
      <w:r>
        <w:t xml:space="preserve">Refer to the Exams Officer Guide, Teacher Guide, and Grades, Exams, and Report Cards flows for detailed steps.</w:t>
      </w:r>
    </w:p>
    <w:p>
      <w:pPr>
        <w:pStyle w:val="Heading1"/>
        <w:keepNext/>
        <w:spacing w:after="90" w:before="150"/>
      </w:pPr>
      <w:r>
        <w:t xml:space="preserve">7. Review admissions and enrollment</w:t>
      </w:r>
    </w:p>
    <w:p>
      <w:pPr>
        <w:spacing w:after="100" w:line="276"/>
      </w:pPr>
      <w:r>
        <w:t xml:space="preserve">Use </w:t>
      </w:r>
      <w:r>
        <w:rPr>
          <w:b/>
          <w:bCs/>
        </w:rPr>
        <w:t xml:space="preserve">Admissions</w:t>
      </w:r>
      <w:r>
        <w:t xml:space="preserve"> to review applications and pipeline status; use the Admissions Officer Guide for required fields, guardian information, and enrollment. Before marking an applicant enrolled, verify that the supported workflow has created/linked the correct student record. Check class, stream, and subject curriculum after enrollment. Do not create a second student to work around an incomplete application.</w:t>
      </w:r>
    </w:p>
    <w:p>
      <w:pPr>
        <w:pStyle w:val="Heading1"/>
        <w:keepNext/>
        <w:spacing w:after="90" w:before="150"/>
      </w:pPr>
      <w:r>
        <w:t xml:space="preserve">8. Manage staff responsibilities through the right authority</w:t>
      </w:r>
    </w:p>
    <w:p>
      <w:pPr>
        <w:spacing w:after="100" w:line="276"/>
      </w:pPr>
      <w:r>
        <w:t xml:space="preserve">Use </w:t>
      </w:r>
      <w:r>
        <w:rPr>
          <w:b/>
          <w:bCs/>
        </w:rPr>
        <w:t xml:space="preserve">Teachers/HR</w:t>
      </w:r>
      <w:r>
        <w:t xml:space="preserve"> and role-specific guides for staff details, leave, payroll, or teaching assignments. Do not share HR or payroll data beyond authorized staff. A Deputy/Principal may have some staff views but does not automatically inherit every HR capability or workflow-setting permission.</w:t>
      </w:r>
    </w:p>
    <w:p>
      <w:pPr>
        <w:spacing w:after="100" w:line="276"/>
      </w:pPr>
      <w:r>
        <w:t xml:space="preserve">Settings → Roles &amp; Permissions should be changed only by a user with the explicit authority. Grant the minimum capabilities needed, including any separate sensitive-action grant, then verify with the target role. Avoid using a shared administrator login.</w:t>
      </w:r>
    </w:p>
    <w:p>
      <w:pPr>
        <w:pStyle w:val="Heading1"/>
        <w:keepNext/>
        <w:spacing w:after="90" w:before="150"/>
      </w:pPr>
      <w:r>
        <w:t xml:space="preserve">9. Communicate decisions</w:t>
      </w:r>
    </w:p>
    <w:p>
      <w:pPr>
        <w:spacing w:after="100" w:line="276"/>
      </w:pPr>
      <w:r>
        <w:t xml:space="preserve">Use </w:t>
      </w:r>
      <w:r>
        <w:rPr>
          <w:b/>
          <w:bCs/>
        </w:rPr>
        <w:t xml:space="preserve">Messages</w:t>
      </w:r>
      <w:r>
        <w:t xml:space="preserve"> or the approved school communications process. Confirm the target audience before sending, especially for a class-wide or school-wide notice. Keep student health, discipline, and family details out of broad messages. Parent-to-school messaging uses server-resolved staff categories; never instruct parents to message another parent or share a private staff contact list.</w:t>
      </w:r>
    </w:p>
    <w:p>
      <w:pPr>
        <w:pStyle w:val="Heading1"/>
        <w:keepNext/>
        <w:spacing w:after="90" w:before="150"/>
      </w:pPr>
      <w:r>
        <w:t xml:space="preserve">10. High-impact actions: check before confirming</w:t>
      </w:r>
    </w:p>
    <w:p>
      <w:pPr>
        <w:spacing w:after="100" w:line="276"/>
      </w:pPr>
      <w:r>
        <w:t xml:space="preserve">Before publishing reports, deleting records, resetting behaviour points, changing grades, altering school roles, changing student placements, updating fees, or changing student medical data: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Verify the school, student/class/term, and selected record.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Check whether the operation is reversible and whether it has an audit/history record.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business approval and supporting evidence.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Explain the impact to affected staff/families where policy requires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Reopen the record after saving and confirm the expected status and downstream result.</w:t>
      </w:r>
    </w:p>
    <w:p>
      <w:pPr>
        <w:pStyle w:val="Heading1"/>
        <w:keepNext/>
        <w:spacing w:after="90" w:before="150"/>
      </w:pPr>
      <w:r>
        <w:t xml:space="preserve">11. What requires School Admin or Platform Admin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School Admin/Superadmin:</w:t>
      </w:r>
      <w:r>
        <w:t xml:space="preserve"> school setup, user and role administration, school settings, academic-year transitions, backup/export, and other settings available only to those permissions.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Platform Admin:</w:t>
      </w:r>
      <w:r>
        <w:t xml:space="preserve"> subscription/platform operations and cross-school service controls using separate platform authority.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Module specialist:</w:t>
      </w:r>
      <w:r>
        <w:t xml:space="preserve"> Finance, HR, Admissions, Exams, Timetabling, Behaviour, Medical, Transport, Hostel, Inventory, and Library operators should use their dedicated guides.</w:t>
      </w:r>
    </w:p>
    <w:p>
      <w:pPr>
        <w:spacing w:after="100" w:line="276"/>
      </w:pPr>
      <w:r>
        <w:t xml:space="preserve">Escalate access or settings changes to the appropriate authorized person instead of using another account.</w:t>
      </w:r>
    </w:p>
    <w:p>
      <w:pPr>
        <w:pStyle w:val="Heading1"/>
        <w:keepNext/>
        <w:spacing w:after="90" w:before="150"/>
      </w:pPr>
      <w:r>
        <w:t xml:space="preserve">Leadership review cadence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Daily/weekly:</w:t>
      </w:r>
      <w:r>
        <w:t xml:space="preserve"> attendance exceptions, serious behaviour/safeguarding escalation, upcoming exams/events, open admissions, and timetable/coverage issues.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Before report publication:</w:t>
      </w:r>
      <w:r>
        <w:t xml:space="preserve"> Markbook completeness, comments, validation, term/class selection, and publication authorization.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Term/year transition:</w:t>
      </w:r>
      <w:r>
        <w:t xml:space="preserve"> class/stream placement, curriculum/subject enrollment, staff assignments, behaviour reset process, report-card policy, and approved backup/recovery checks.</w:t>
      </w:r>
    </w:p>
    <w:p>
      <w:pPr>
        <w:spacing w:after="100" w:line="276"/>
      </w:pPr>
      <w:r>
        <w:t xml:space="preserve">Use each module's own records as the source of truth and record follow-up decisions through the appropriate workflow.</w:t>
      </w:r>
    </w:p>
    <w:p>
      <w:pPr>
        <w:spacing w:after="100" w:line="276"/>
      </w:pPr>
      <w:r>
        <w:rPr>
          <w:b/>
          <w:bCs/>
        </w:rPr>
        <w:t xml:space="preserve">Sources checked:</w:t>
      </w:r>
      <w:r>
        <w:t xml:space="preserve">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server/utils/repairPermissions.js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server/routes/onboard.js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server/config/moduleRegistry.js</w:t>
      </w:r>
      <w:r>
        <w:t xml:space="preserve">, dashboard and leadership-facing module flows,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docs/SCHOOL_ADMIN_GUIDE.md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docs/PLATFORM_ADMIN_GUIDE.md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docs/EXAMS_OFFICER_GUIDE.md</w:t>
      </w:r>
      <w:r>
        <w:t xml:space="preserve">, and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CHANGELOG.md</w:t>
      </w:r>
      <w:r>
        <w:t xml:space="preserve"> through v5.194.0. Relevant changes include v5.113.0 (teacher scope), v5.177.0 (publish-time mark locking), v5.190.0 (stream assignment integrity), and v5.193.0 (comment field protection). Checked 2026-10-18. Actual grants may be customized by each school.</w:t>
      </w:r>
    </w:p>
    <w:sectPr>
      <w:headerReference w:type="default" r:id="rId7"/>
      <w:footerReference w:type="default" r:id="rId8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aption"/>
      <w:jc w:val="center"/>
    </w:pPr>
    <w:r>
      <w:t xml:space="preserve">Msingi user guide  •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MSINGI  |  MSINGI — SCHOOL LEADERSHIP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445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Msingi — School Leadership Guide</dc:title>
  <dc:subject>Msingi — School Leadership Guide</dc:subject>
  <dc:creator>Msingi Documentation</dc:creator>
  <dc:description>Generated from docs/SCHOOL_LEADERSHIP_GUIDE.md</dc:description>
  <cp:lastModifiedBy>Un-named</cp:lastModifiedBy>
  <cp:revision>1</cp:revision>
  <dcterms:created xsi:type="dcterms:W3CDTF">2026-10-18T14:07:08.722Z</dcterms:created>
  <dcterms:modified xsi:type="dcterms:W3CDTF">2026-10-18T14:07:08.722Z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