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360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35"/>
        <w:gridCol w:w="900"/>
        <w:gridCol w:w="870"/>
        <w:gridCol w:w="2220"/>
        <w:gridCol w:w="1260"/>
        <w:gridCol w:w="105"/>
        <w:gridCol w:w="1770"/>
        <w:gridCol w:w="1515"/>
        <w:gridCol w:w="1710"/>
        <w:gridCol w:w="1260"/>
        <w:gridCol w:w="1815"/>
        <w:tblGridChange w:id="0">
          <w:tblGrid>
            <w:gridCol w:w="1935"/>
            <w:gridCol w:w="900"/>
            <w:gridCol w:w="870"/>
            <w:gridCol w:w="2220"/>
            <w:gridCol w:w="1260"/>
            <w:gridCol w:w="105"/>
            <w:gridCol w:w="1770"/>
            <w:gridCol w:w="1515"/>
            <w:gridCol w:w="1710"/>
            <w:gridCol w:w="1260"/>
            <w:gridCol w:w="1815"/>
          </w:tblGrid>
        </w:tblGridChange>
      </w:tblGrid>
      <w:tr>
        <w:trPr>
          <w:cantSplit w:val="0"/>
          <w:tblHeader w:val="0"/>
        </w:trPr>
        <w:tc>
          <w:tcPr>
            <w:shd w:fill="1a35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Mr Robert </w:t>
            </w:r>
          </w:p>
        </w:tc>
        <w:tc>
          <w:tcPr>
            <w:shd w:fill="1a35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2b3359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YEAR 7</w:t>
            </w:r>
          </w:p>
        </w:tc>
        <w:tc>
          <w:tcPr>
            <w:gridSpan w:val="2"/>
            <w:shd w:fill="2b3359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TERM &amp; YEAR</w:t>
            </w:r>
          </w:p>
        </w:tc>
        <w:tc>
          <w:tcPr>
            <w:shd w:fill="f2f4f7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1 2026 2027 </w:t>
            </w:r>
          </w:p>
        </w:tc>
      </w:tr>
      <w:tr>
        <w:trPr>
          <w:cantSplit w:val="0"/>
          <w:tblHeader w:val="0"/>
        </w:trPr>
        <w:tc>
          <w:tcPr>
            <w:shd w:fill="1a35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ENGLISH </w:t>
            </w:r>
          </w:p>
        </w:tc>
        <w:tc>
          <w:tcPr>
            <w:shd w:fill="1a35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i w:val="1"/>
                <w:iCs w:val="1"/>
                <w:color w:val="888888"/>
                <w:rtl w:val="0"/>
              </w:rPr>
              <w:t xml:space="preserve">1ST SEPTEMBER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1a35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CLASS</w:t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YEAR 7</w:t>
            </w:r>
          </w:p>
        </w:tc>
      </w:tr>
      <w:tr>
        <w:trPr>
          <w:cantSplit w:val="0"/>
          <w:tblHeader w:val="0"/>
        </w:trPr>
        <w:tc>
          <w:tcPr>
            <w:shd w:fill="1a35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Lesson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1a35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Topic/Subtopic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5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Lesson 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1a35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Learning 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1a35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Resources/References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5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9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55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1: Adventure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Adventure Fiction Conventions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Identify 3 core themes of adventure fiction.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Scan an extract to retrieve structural details. (7Rd.01, 7Rg.01)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Starter: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Brainstorm core elements of adventure fiction in pairs (exotic settings, danger, hero vs. antagonist) and record on whiteboards.</w:t>
            </w:r>
          </w:p>
          <w:p w:rsidR="00000000" w:rsidDel="00000000" w:rsidP="00000000" w:rsidRDefault="00000000" w:rsidRPr="00000000" w14:paraId="0000003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Main Activity: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Skim-read the extract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"Beware Low-Flying Girls"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Teacher models scanning strategies on the board. In pairs, learners scan the text to identify and record key setting attributes and structural cues in notebooks.</w:t>
            </w:r>
          </w:p>
          <w:p w:rsidR="00000000" w:rsidDel="00000000" w:rsidP="00000000" w:rsidRDefault="00000000" w:rsidRPr="00000000" w14:paraId="00000033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Plenary: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Whole-class feedback mapping generic adventure conventions onto a central concept ma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Learner's Book Unit 1; Slideshow on Genre Conventions; Extract text sheets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2b335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DIFFERENTIATION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2b3359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LOW 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2b3359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MIDDLE 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2b3359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HIGH 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4" w:hRule="atLeast"/>
          <w:tblHeader w:val="0"/>
        </w:trPr>
        <w:tc>
          <w:tcPr>
            <w:gridSpan w:val="2"/>
            <w:vMerge w:val="continue"/>
            <w:shd w:fill="2b335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 a structured graphic organizer with pre-filled category headers (Setting, Danger, Hero).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2b335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ASSESSMENT &amp;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how specific word choices in the extract establish immediate genre conventions.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2b335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LESSON / WEEK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Observation of pair brainstorming and accurate completion of setting scanning charts in notebooks.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78" w:hRule="atLeast"/>
          <w:tblHeader w:val="0"/>
        </w:trPr>
        <w:tc>
          <w:tcPr>
            <w:gridSpan w:val="4"/>
            <w:shd w:fill="1a355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REFLECTION  —  What went well  |  Even better if  |  Areas for improvement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1"/>
            <w:shd w:fill="a50021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360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35"/>
        <w:gridCol w:w="900"/>
        <w:gridCol w:w="870"/>
        <w:gridCol w:w="2190"/>
        <w:gridCol w:w="1290"/>
        <w:gridCol w:w="105"/>
        <w:gridCol w:w="1770"/>
        <w:gridCol w:w="1515"/>
        <w:gridCol w:w="1710"/>
        <w:gridCol w:w="1260"/>
        <w:gridCol w:w="1815"/>
        <w:tblGridChange w:id="0">
          <w:tblGrid>
            <w:gridCol w:w="1935"/>
            <w:gridCol w:w="900"/>
            <w:gridCol w:w="870"/>
            <w:gridCol w:w="2190"/>
            <w:gridCol w:w="1290"/>
            <w:gridCol w:w="105"/>
            <w:gridCol w:w="1770"/>
            <w:gridCol w:w="1515"/>
            <w:gridCol w:w="1710"/>
            <w:gridCol w:w="1260"/>
            <w:gridCol w:w="1815"/>
          </w:tblGrid>
        </w:tblGridChange>
      </w:tblGrid>
      <w:tr>
        <w:trPr>
          <w:cantSplit w:val="0"/>
          <w:tblHeader w:val="0"/>
        </w:trPr>
        <w:tc>
          <w:tcPr>
            <w:shd w:fill="1a35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Mr Robert M</w:t>
            </w:r>
          </w:p>
        </w:tc>
        <w:tc>
          <w:tcPr>
            <w:shd w:fill="1a35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2b3359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gridSpan w:val="2"/>
            <w:shd w:fill="2b3359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TERM &amp; YEAR</w:t>
            </w:r>
          </w:p>
        </w:tc>
        <w:tc>
          <w:tcPr>
            <w:shd w:fill="f2f4f7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1 2026 2027 </w:t>
            </w:r>
          </w:p>
        </w:tc>
      </w:tr>
      <w:tr>
        <w:trPr>
          <w:cantSplit w:val="0"/>
          <w:tblHeader w:val="0"/>
        </w:trPr>
        <w:tc>
          <w:tcPr>
            <w:shd w:fill="1a35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ENGLISH</w:t>
            </w:r>
          </w:p>
        </w:tc>
        <w:tc>
          <w:tcPr>
            <w:shd w:fill="1a35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i w:val="1"/>
                <w:iCs w:val="1"/>
                <w:color w:val="888888"/>
                <w:rtl w:val="0"/>
              </w:rPr>
              <w:t xml:space="preserve">FROM: 2ND SEPTEMBER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1a35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CLASS</w:t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YEAR</w:t>
            </w:r>
          </w:p>
        </w:tc>
      </w:tr>
      <w:tr>
        <w:trPr>
          <w:cantSplit w:val="0"/>
          <w:tblHeader w:val="0"/>
        </w:trPr>
        <w:tc>
          <w:tcPr>
            <w:shd w:fill="1a35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Lesson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1a35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Topic/Subtopic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5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Lesson 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1a35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Learning 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1a35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Resources/References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5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9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55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1: Adventure</w:t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Characterization Descriptor</w:t>
            </w:r>
            <w:r w:rsidDel="00000000" w:rsidR="00000000" w:rsidRPr="00000000">
              <w:rPr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1,Explain descriptive adjective usage.</w:t>
            </w:r>
          </w:p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Infer character motivation from actions. (7Rv.01, 7Ri.01)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Starter: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Display a character image; learners write down 3 descriptive adjectives detailing appearance and 2 predicting personality.</w:t>
            </w:r>
          </w:p>
          <w:p w:rsidR="00000000" w:rsidDel="00000000" w:rsidP="00000000" w:rsidRDefault="00000000" w:rsidRPr="00000000" w14:paraId="000000B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Main Activity: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Teacher models close-reading techniques on extract paragraph, demonstrating how actions reveal internal motives. Learners highlight character descriptors in the text extract and complete an inference tracking chart in their notebooks.</w:t>
            </w:r>
          </w:p>
          <w:p w:rsidR="00000000" w:rsidDel="00000000" w:rsidP="00000000" w:rsidRDefault="00000000" w:rsidRPr="00000000" w14:paraId="000000BD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Plenary: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Learners share inferred character traits and justify their reasoning using direct textual evidence quotes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Learner's Book Unit 1; Character Inference charts; Highlighters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2b335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DIFFERENTIATION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2b3359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LOW 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2b3359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MIDDLE 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2b3359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HIGH 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4" w:hRule="atLeast"/>
          <w:tblHeader w:val="0"/>
        </w:trPr>
        <w:tc>
          <w:tcPr>
            <w:gridSpan w:val="2"/>
            <w:vMerge w:val="continue"/>
            <w:shd w:fill="2b335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sentence starters (e.g., "The character acts like this because...") to complete the inference chart.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3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 the inference chart using a character descriptor word bank as support.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Analyze how subtle verb choices complement descriptive adjectives in revealing implicit motives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2b335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ASSESSMENT &amp;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Quality and accuracy of textual evidence cited in the character inference tracking  chart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2b335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LESSON / WEEK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a 5-sentence character description using at least 4 powerful adjectives and 1 implicit action clue.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78" w:hRule="atLeast"/>
          <w:tblHeader w:val="0"/>
        </w:trPr>
        <w:tc>
          <w:tcPr>
            <w:gridSpan w:val="4"/>
            <w:shd w:fill="1a355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REFLECTION  —  What went well  |  Even better if  |  Areas for improvement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1"/>
            <w:shd w:fill="a50021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A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360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35"/>
        <w:gridCol w:w="900"/>
        <w:gridCol w:w="870"/>
        <w:gridCol w:w="2145"/>
        <w:gridCol w:w="1335"/>
        <w:gridCol w:w="105"/>
        <w:gridCol w:w="1770"/>
        <w:gridCol w:w="1515"/>
        <w:gridCol w:w="1710"/>
        <w:gridCol w:w="1260"/>
        <w:gridCol w:w="1815"/>
        <w:tblGridChange w:id="0">
          <w:tblGrid>
            <w:gridCol w:w="1935"/>
            <w:gridCol w:w="900"/>
            <w:gridCol w:w="870"/>
            <w:gridCol w:w="2145"/>
            <w:gridCol w:w="1335"/>
            <w:gridCol w:w="105"/>
            <w:gridCol w:w="1770"/>
            <w:gridCol w:w="1515"/>
            <w:gridCol w:w="1710"/>
            <w:gridCol w:w="1260"/>
            <w:gridCol w:w="1815"/>
          </w:tblGrid>
        </w:tblGridChange>
      </w:tblGrid>
      <w:tr>
        <w:trPr>
          <w:cantSplit w:val="0"/>
          <w:tblHeader w:val="0"/>
        </w:trPr>
        <w:tc>
          <w:tcPr>
            <w:shd w:fill="1a35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Mr Robert M</w:t>
            </w:r>
          </w:p>
        </w:tc>
        <w:tc>
          <w:tcPr>
            <w:shd w:fill="1a35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2b3359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Year 7</w:t>
            </w:r>
          </w:p>
        </w:tc>
        <w:tc>
          <w:tcPr>
            <w:gridSpan w:val="2"/>
            <w:shd w:fill="2b3359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TERM &amp; YEAR</w:t>
            </w:r>
          </w:p>
        </w:tc>
        <w:tc>
          <w:tcPr>
            <w:shd w:fill="f2f4f7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1  2026 2027</w:t>
            </w:r>
          </w:p>
        </w:tc>
      </w:tr>
      <w:tr>
        <w:trPr>
          <w:cantSplit w:val="0"/>
          <w:tblHeader w:val="0"/>
        </w:trPr>
        <w:tc>
          <w:tcPr>
            <w:shd w:fill="1a35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ENGLISH </w:t>
            </w:r>
          </w:p>
        </w:tc>
        <w:tc>
          <w:tcPr>
            <w:shd w:fill="1a35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i w:val="1"/>
                <w:iCs w:val="1"/>
                <w:color w:val="888888"/>
                <w:rtl w:val="0"/>
              </w:rPr>
              <w:t xml:space="preserve">3 SEPTEMBER 2026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1a35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CLASS</w:t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a35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Lesson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1a35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Topic/Subtopic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5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Lesson 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1a35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Learning 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1a35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Resources/References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5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9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55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1: Adventure</w:t>
            </w:r>
          </w:p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Narrative Pacing &amp; Suspense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 sentence length variations.</w:t>
            </w:r>
          </w:p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Locate structural cliffhanger setups. (7Rg.02, 7Ro.01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4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ind w:left="2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Starter: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Read two short passages aloud (one slow &amp; descriptive, one fast-paced with short sentences). Discuss how speed and feeling differed.</w:t>
            </w:r>
          </w:p>
          <w:p w:rsidR="00000000" w:rsidDel="00000000" w:rsidP="00000000" w:rsidRDefault="00000000" w:rsidRPr="00000000" w14:paraId="00000143">
            <w:pPr>
              <w:ind w:left="2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Main Activity: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Teacher explains structural pacing effects and tension building. In small groups, learners analyze short vs. long sentences in selected adventure passages, tracking line lengths and flagging cliffhangers at section breaks.</w:t>
            </w:r>
          </w:p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Plenary: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Groups present identified cliffhangers and explain how sentence structure creates suspense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Selected adventure text extracts; Pacing analysis worksheets; Highlighters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2b335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DIFFERENTIATION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2b3359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LOW 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2b3359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MIDDLE 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2b3359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HIGH 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4" w:hRule="atLeast"/>
          <w:tblHeader w:val="0"/>
        </w:trPr>
        <w:tc>
          <w:tcPr>
            <w:gridSpan w:val="2"/>
            <w:vMerge w:val="continue"/>
            <w:shd w:fill="2b335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Highlight short sentences in red and long sentences in blue on pre-segmented text slips.</w:t>
            </w:r>
          </w:p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 word counts per sentence across high-tension scenes and chart variations on a line graph.</w:t>
            </w:r>
          </w:p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Evaluate how the author combines sentence structures with punctuation (dashes, ellipses) to control reading pace.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2b335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ASSESSMENT &amp;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Group presentations and correct identification of structural tension indicators on text extracts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2b335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LESSON / WEEK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Rewrite a calm 3-sentence description into a high-suspense 5-sentence passage using short, punchy sentences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78" w:hRule="atLeast"/>
          <w:tblHeader w:val="0"/>
        </w:trPr>
        <w:tc>
          <w:tcPr>
            <w:gridSpan w:val="4"/>
            <w:shd w:fill="1a355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REFLECTION  —  What went well  |  Even better if  |  Areas for improvement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1"/>
            <w:shd w:fill="a50021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90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widowControl w:val="0"/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5360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35"/>
        <w:gridCol w:w="900"/>
        <w:gridCol w:w="870"/>
        <w:gridCol w:w="2145"/>
        <w:gridCol w:w="1335"/>
        <w:gridCol w:w="105"/>
        <w:gridCol w:w="1770"/>
        <w:gridCol w:w="1515"/>
        <w:gridCol w:w="1710"/>
        <w:gridCol w:w="1260"/>
        <w:gridCol w:w="1815"/>
        <w:tblGridChange w:id="0">
          <w:tblGrid>
            <w:gridCol w:w="1935"/>
            <w:gridCol w:w="900"/>
            <w:gridCol w:w="870"/>
            <w:gridCol w:w="2145"/>
            <w:gridCol w:w="1335"/>
            <w:gridCol w:w="105"/>
            <w:gridCol w:w="1770"/>
            <w:gridCol w:w="1515"/>
            <w:gridCol w:w="1710"/>
            <w:gridCol w:w="1260"/>
            <w:gridCol w:w="1815"/>
          </w:tblGrid>
        </w:tblGridChange>
      </w:tblGrid>
      <w:tr>
        <w:trPr>
          <w:cantSplit w:val="0"/>
          <w:tblHeader w:val="0"/>
        </w:trPr>
        <w:tc>
          <w:tcPr>
            <w:shd w:fill="1a35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Mr Robert M</w:t>
            </w:r>
          </w:p>
        </w:tc>
        <w:tc>
          <w:tcPr>
            <w:shd w:fill="1a35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2b3359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Year 7</w:t>
            </w:r>
          </w:p>
        </w:tc>
        <w:tc>
          <w:tcPr>
            <w:gridSpan w:val="2"/>
            <w:shd w:fill="2b3359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TERM &amp; YEAR</w:t>
            </w:r>
          </w:p>
        </w:tc>
        <w:tc>
          <w:tcPr>
            <w:shd w:fill="f2f4f7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1  2026 2027</w:t>
            </w:r>
          </w:p>
        </w:tc>
      </w:tr>
      <w:tr>
        <w:trPr>
          <w:cantSplit w:val="0"/>
          <w:tblHeader w:val="0"/>
        </w:trPr>
        <w:tc>
          <w:tcPr>
            <w:shd w:fill="1a35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ENGLISH </w:t>
            </w:r>
          </w:p>
        </w:tc>
        <w:tc>
          <w:tcPr>
            <w:shd w:fill="1a35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i w:val="1"/>
                <w:iCs w:val="1"/>
                <w:color w:val="888888"/>
                <w:rtl w:val="0"/>
              </w:rPr>
              <w:t xml:space="preserve">4 SEPTEMBER 2026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1a35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CLASS</w:t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a35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Lesson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1a35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Topic/Subtopic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5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Lesson 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1a35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Learning 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1a35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Resources/References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5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9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55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1: Adventure</w:t>
            </w:r>
          </w:p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Grammar: Active vs. Passive Voice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Differentiate active and passive voice.</w:t>
            </w:r>
          </w:p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Convert passive sentences to active voice. (7Ww.01, 7Gg.01)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4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Starter: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Compare "The dragon chased the hero" vs. "The hero was chased by the dragon." Identify subject, verb, and object in both.</w:t>
            </w:r>
          </w:p>
          <w:p w:rsidR="00000000" w:rsidDel="00000000" w:rsidP="00000000" w:rsidRDefault="00000000" w:rsidRPr="00000000" w14:paraId="000001C5">
            <w:pPr>
              <w:ind w:left="2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Main Activity: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Teacher delivers explicit instruction on subject-verb-object positions in active vs. passive voice. Learners sort mixed sentence cards into Active/Passive columns and transform dull passive adventure descriptions into high-energy active sentences using sentence frames.</w:t>
            </w:r>
          </w:p>
          <w:p w:rsidR="00000000" w:rsidDel="00000000" w:rsidP="00000000" w:rsidRDefault="00000000" w:rsidRPr="00000000" w14:paraId="000001C6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Plenary: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"Active Swap" challenge—learners write a passive sentence on mini-whiteboards and pass to a partner for rapid active conversio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Grammar reference guides; Active/Passive sorting cards; Sentence transformation frames.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2b335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DIFFERENTIATION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2b3359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LOW 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2b3359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MIDDLE 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2b3359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HIGH 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4" w:hRule="atLeast"/>
          <w:tblHeader w:val="0"/>
        </w:trPr>
        <w:tc>
          <w:tcPr>
            <w:gridSpan w:val="2"/>
            <w:vMerge w:val="continue"/>
            <w:shd w:fill="2b335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color-coded subject/verb/object sentence strips to physically rearrange passive sentences into active.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3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Convert 8 passive sentences to active independently using a step-by-step conversion checklist.</w:t>
            </w:r>
          </w:p>
          <w:p w:rsidR="00000000" w:rsidDel="00000000" w:rsidP="00000000" w:rsidRDefault="00000000" w:rsidRPr="00000000" w14:paraId="000001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why an author might intentionally choose passive voice in specific suspense contexts (e.g., hiding the actor).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2b335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ASSESSMENT &amp;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Group presentations and correct identification of structural tension indicators on text extracts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2b335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LESSON / WEEK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Individual accuracy in sentence transformation activity and active/passive card sorting task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78" w:hRule="atLeast"/>
          <w:tblHeader w:val="0"/>
        </w:trPr>
        <w:tc>
          <w:tcPr>
            <w:gridSpan w:val="4"/>
            <w:shd w:fill="1a355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REFLECTION  —  What went well  |  Even better if  |  Areas for improvement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1"/>
            <w:shd w:fill="a50021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0E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1906" w:w="16838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E">
    <w:pPr>
      <w:jc w:val="center"/>
      <w:rPr/>
    </w:pPr>
    <w:r w:rsidDel="00000000" w:rsidR="00000000" w:rsidRPr="00000000">
      <w:rPr>
        <w:b w:val="1"/>
        <w:bCs w:val="1"/>
        <w:color w:val="1a3556"/>
        <w:sz w:val="16"/>
        <w:szCs w:val="16"/>
        <w:rtl w:val="0"/>
      </w:rPr>
      <w:t xml:space="preserve">Trinitas International School  ·  </w:t>
    </w:r>
    <w:r w:rsidDel="00000000" w:rsidR="00000000" w:rsidRPr="00000000">
      <w:rPr>
        <w:color w:val="1a3556"/>
        <w:sz w:val="16"/>
        <w:szCs w:val="16"/>
        <w:rtl w:val="0"/>
      </w:rPr>
      <w:t xml:space="preserve">Future Leaders  ·  Page </w:t>
    </w:r>
    <w:r w:rsidDel="00000000" w:rsidR="00000000" w:rsidRPr="00000000">
      <w:rPr>
        <w:color w:val="1a355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B">
    <w:pPr>
      <w:pBdr>
        <w:bottom w:color="c0152a" w:space="4" w:sz="6" w:val="single"/>
      </w:pBdr>
      <w:spacing w:after="80" w:lineRule="auto"/>
      <w:rPr>
        <w:b w:val="1"/>
        <w:bCs w:val="1"/>
        <w:color w:val="1a3556"/>
        <w:sz w:val="24"/>
        <w:szCs w:val="24"/>
      </w:rPr>
    </w:pPr>
    <w:r w:rsidDel="00000000" w:rsidR="00000000" w:rsidRPr="00000000">
      <w:rPr/>
      <w:drawing>
        <wp:inline distB="0" distT="0" distL="0" distR="0">
          <wp:extent cx="523875" cy="523875"/>
          <wp:effectExtent b="0" l="0" r="0" t="0"/>
          <wp:docPr descr="School Logo" id="2" name="image1.png"/>
          <a:graphic>
            <a:graphicData uri="http://schemas.openxmlformats.org/drawingml/2006/picture">
              <pic:pic>
                <pic:nvPicPr>
                  <pic:cNvPr descr="School Logo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3875" cy="5238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b w:val="1"/>
        <w:bCs w:val="1"/>
        <w:color w:val="1a3556"/>
        <w:sz w:val="24"/>
        <w:szCs w:val="24"/>
        <w:rtl w:val="0"/>
      </w:rPr>
      <w:tab/>
      <w:tab/>
      <w:tab/>
      <w:tab/>
      <w:tab/>
      <w:tab/>
      <w:tab/>
    </w:r>
    <w:r w:rsidDel="00000000" w:rsidR="00000000" w:rsidRPr="00000000">
      <w:rPr>
        <w:color w:val="1a3556"/>
        <w:sz w:val="24"/>
        <w:szCs w:val="24"/>
        <w:u w:val="single"/>
        <w:rtl w:val="0"/>
      </w:rPr>
      <w:t xml:space="preserve">TRINITAS INTERNATIONAL SCHOOL</w:t>
      <w:tab/>
    </w:r>
    <w:r w:rsidDel="00000000" w:rsidR="00000000" w:rsidRPr="00000000">
      <w:rPr>
        <w:b w:val="1"/>
        <w:bCs w:val="1"/>
        <w:color w:val="1a3556"/>
        <w:sz w:val="24"/>
        <w:szCs w:val="24"/>
        <w:rtl w:val="0"/>
      </w:rPr>
      <w:tab/>
      <w:tab/>
      <w:tab/>
      <w:tab/>
      <w:tab/>
      <w:tab/>
    </w:r>
    <w:r w:rsidDel="00000000" w:rsidR="00000000" w:rsidRPr="00000000">
      <w:rPr/>
      <w:drawing>
        <wp:inline distB="0" distT="0" distL="0" distR="0">
          <wp:extent cx="523875" cy="523875"/>
          <wp:effectExtent b="0" l="0" r="0" t="0"/>
          <wp:docPr descr="School Logo" id="3" name="image1.png"/>
          <a:graphic>
            <a:graphicData uri="http://schemas.openxmlformats.org/drawingml/2006/picture">
              <pic:pic>
                <pic:nvPicPr>
                  <pic:cNvPr descr="School Logo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3875" cy="5238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C">
    <w:pPr>
      <w:pBdr>
        <w:bottom w:color="c0152a" w:space="4" w:sz="6" w:val="single"/>
      </w:pBdr>
      <w:spacing w:after="80" w:lineRule="auto"/>
      <w:jc w:val="center"/>
      <w:rPr>
        <w:b w:val="1"/>
        <w:bCs w:val="1"/>
        <w:color w:val="1a3556"/>
        <w:sz w:val="24"/>
        <w:szCs w:val="24"/>
        <w:u w:val="single"/>
      </w:rPr>
    </w:pPr>
    <w:r w:rsidDel="00000000" w:rsidR="00000000" w:rsidRPr="00000000">
      <w:rPr>
        <w:b w:val="1"/>
        <w:bCs w:val="1"/>
        <w:color w:val="1a3556"/>
        <w:sz w:val="24"/>
        <w:szCs w:val="24"/>
        <w:u w:val="single"/>
        <w:rtl w:val="0"/>
      </w:rPr>
      <w:t xml:space="preserve">LESSON PLAN</w:t>
    </w:r>
  </w:p>
  <w:p w:rsidR="00000000" w:rsidDel="00000000" w:rsidP="00000000" w:rsidRDefault="00000000" w:rsidRPr="00000000" w14:paraId="0000021D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619500" cy="3619500"/>
          <wp:effectExtent b="0" l="0" r="0" t="0"/>
          <wp:wrapNone/>
          <wp:docPr descr="Background watermark" id="1" name="image2.png"/>
          <a:graphic>
            <a:graphicData uri="http://schemas.openxmlformats.org/drawingml/2006/picture">
              <pic:pic>
                <pic:nvPicPr>
                  <pic:cNvPr descr="Background watermark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619500" cy="36195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-K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fgzqUpwP9GFPMQRGBNa8iH2MBA==">CgMxLjA4AHIhMTA2SDBGM090M0c2bzdHTDFnemxnU3lNbEV4T3ZOcFlX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