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ELOQUA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eloqua.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Eloqua to Fivetran, you need access to an active Eloqua account.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This will redirect you to Eloqua's login portal.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Eloqua account. Fivetran will take it from here and sync your data from your Eloqua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