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GOOGLE ADS SETUP GUIDE</w:t>
      </w:r>
    </w:p>
    <w:p>
      <w:r>
        <w:rPr>
          <w:rFonts w:ascii="Proxima Nova Rg" w:hAnsi="Proxima Nova Rg"/>
          <w:b/>
          <w:color w:val="000000"/>
          <w:sz w:val="21"/>
        </w:rPr>
        <w:t>The Below requirements are needed to establish a connection google ads.</w:t>
      </w:r>
    </w:p>
    <w:p>
      <w:r>
        <w:rPr>
          <w:rFonts w:ascii="Proxima Nova Rg" w:hAnsi="Proxima Nova Rg"/>
          <w:b/>
          <w:color w:val="4A66AC"/>
          <w:sz w:val="24"/>
        </w:rPr>
        <w:t>Prerequisites</w:t>
      </w:r>
    </w:p>
    <w:p>
      <w:r>
        <w:rPr>
          <w:rFonts w:ascii="Proxima Nova Rg" w:hAnsi="Proxima Nova Rg"/>
          <w:color w:val="000000"/>
          <w:sz w:val="21"/>
        </w:rPr>
        <w:t>Prerequisiteslink</w:t>
        <w:br/>
        <w:t>To connect Google Ads to Fivetran, you need a Google Ads account.</w:t>
        <w:br/>
        <w:br/>
      </w:r>
    </w:p>
    <w:p>
      <w:r>
        <w:rPr>
          <w:rFonts w:ascii="Proxima Nova Rg" w:hAnsi="Proxima Nova Rg"/>
          <w:b/>
          <w:color w:val="4A66AC"/>
          <w:sz w:val="24"/>
        </w:rPr>
        <w:t>Setup Guide</w:t>
      </w:r>
    </w:p>
    <w:p>
      <w:pPr>
        <w:pStyle w:val="ListNumber"/>
      </w:pPr>
      <w:r>
        <w:t>Find customer ID</w:t>
        <w:br/>
      </w:r>
      <w:r>
        <w:rPr>
          <w:rFonts w:ascii="Proxima Nova Rg" w:hAnsi="Proxima Nova Rg"/>
          <w:color w:val="000000"/>
          <w:sz w:val="21"/>
        </w:rPr>
      </w:r>
    </w:p>
    <w:p>
      <w:pPr>
        <w:pStyle w:val="ListBullet2"/>
      </w:pPr>
      <w:r>
        <w:t>Log in to your Google Ads account.</w:t>
        <w:br/>
      </w:r>
      <w:r>
        <w:rPr>
          <w:rFonts w:ascii="Proxima Nova Rg" w:hAnsi="Proxima Nova Rg"/>
          <w:color w:val="000000"/>
          <w:sz w:val="21"/>
        </w:rPr>
      </w:r>
    </w:p>
    <w:p>
      <w:pPr>
        <w:pStyle w:val="ListBullet2"/>
      </w:pPr>
      <w:r>
        <w:t>Locate your Google Ads customer ID and make a note of it. You will need it to fill in your Google Ads setup form.</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Enter your chosen destination schema name in the connector setup form.</w:t>
        <w:br/>
      </w:r>
      <w:r>
        <w:rPr>
          <w:rFonts w:ascii="Proxima Nova Rg" w:hAnsi="Proxima Nova Rg"/>
          <w:color w:val="000000"/>
          <w:sz w:val="21"/>
        </w:rPr>
      </w:r>
    </w:p>
    <w:p>
      <w:pPr>
        <w:pStyle w:val="ListBullet2"/>
      </w:pPr>
      <w:r>
        <w:t>Enter the Google Ads customer ID you found in Step 1.</w:t>
        <w:br/>
      </w:r>
      <w:r>
        <w:rPr>
          <w:rFonts w:ascii="Proxima Nova Rg" w:hAnsi="Proxima Nova Rg"/>
          <w:color w:val="000000"/>
          <w:sz w:val="21"/>
        </w:rPr>
      </w:r>
    </w:p>
    <w:p>
      <w:pPr>
        <w:pStyle w:val="ListBullet2"/>
      </w:pPr>
      <w:r>
        <w:t>Click Authorize to allow Fivetran to access your Google Ads account via OAuth.</w:t>
        <w:br/>
      </w:r>
      <w:r>
        <w:rPr>
          <w:rFonts w:ascii="Proxima Nova Rg" w:hAnsi="Proxima Nova Rg"/>
          <w:color w:val="000000"/>
          <w:sz w:val="21"/>
        </w:rPr>
      </w:r>
    </w:p>
    <w:p>
      <w:pPr>
        <w:pStyle w:val="ListBullet2"/>
      </w:pPr>
      <w:r>
        <w:t>Select your sync mode. You can choose Sync All Accounts, Sync Specific Accounts, or Sync Specific Manager Accounts.</w:t>
        <w:br/>
      </w:r>
      <w:r>
        <w:rPr>
          <w:rFonts w:ascii="Proxima Nova Rg" w:hAnsi="Proxima Nova Rg"/>
          <w:color w:val="000000"/>
          <w:sz w:val="21"/>
        </w:rPr>
      </w:r>
    </w:p>
    <w:p>
      <w:pPr>
        <w:pStyle w:val="ListBullet2"/>
      </w:pPr>
      <w:r>
        <w:t>If you chose Sync Specific Accounts or Sync Specific Manager Accounts, a new Accounts field will appear that lists every account that Fivetran can access. Select which accounts you'd like to sync.</w:t>
        <w:br/>
      </w:r>
      <w:r>
        <w:rPr>
          <w:rFonts w:ascii="Proxima Nova Rg" w:hAnsi="Proxima Nova Rg"/>
          <w:color w:val="000000"/>
          <w:sz w:val="21"/>
        </w:rPr>
      </w:r>
    </w:p>
    <w:p>
      <w:pPr>
        <w:pStyle w:val="ListBullet2"/>
      </w:pPr>
      <w:r>
        <w:t>NOTE: In the Sync Specific Manager Accounts mode, Fivetran will find and sync the client accounts that are direct children of the selected manager accounts. If a manager account has sub-manager accounts, their clients won't be synced.</w:t>
        <w:br/>
      </w:r>
      <w:r>
        <w:rPr>
          <w:rFonts w:ascii="Proxima Nova Rg" w:hAnsi="Proxima Nova Rg"/>
          <w:color w:val="000000"/>
          <w:sz w:val="21"/>
        </w:rPr>
      </w:r>
    </w:p>
    <w:p>
      <w:pPr>
        <w:pStyle w:val="ListBullet2"/>
      </w:pPr>
      <w:r>
        <w:t>Click Add custom report.</w:t>
        <w:br/>
      </w:r>
      <w:r>
        <w:rPr>
          <w:rFonts w:ascii="Proxima Nova Rg" w:hAnsi="Proxima Nova Rg"/>
          <w:color w:val="000000"/>
          <w:sz w:val="21"/>
        </w:rPr>
      </w:r>
    </w:p>
    <w:p>
      <w:pPr>
        <w:pStyle w:val="ListBullet2"/>
      </w:pPr>
      <w:r>
        <w:t>Enter your chosen destination table name. It must be unique within this connector and must comply with Fivetran's naming conventions.</w:t>
        <w:br/>
      </w:r>
      <w:r>
        <w:rPr>
          <w:rFonts w:ascii="Proxima Nova Rg" w:hAnsi="Proxima Nova Rg"/>
          <w:color w:val="000000"/>
          <w:sz w:val="21"/>
        </w:rPr>
      </w:r>
    </w:p>
    <w:p>
      <w:pPr>
        <w:pStyle w:val="ListBullet2"/>
      </w:pPr>
      <w:r>
        <w:t>NOTE: Give the table a name you will find easy to identify with the report in the future. When you want to enable or disable the sync for a particular report once it is set up, you will do so by selecting its table in the connector's schema tab.</w:t>
        <w:br/>
      </w:r>
      <w:r>
        <w:rPr>
          <w:rFonts w:ascii="Proxima Nova Rg" w:hAnsi="Proxima Nova Rg"/>
          <w:color w:val="000000"/>
          <w:sz w:val="21"/>
        </w:rPr>
      </w:r>
    </w:p>
    <w:p>
      <w:pPr>
        <w:pStyle w:val="ListBullet2"/>
      </w:pPr>
      <w:r>
        <w:t>Select the reports and fields you'd like to sync. Use the following Google resources to choose your reports and fields. Note that the Date field is required because the reports are synced by day.</w:t>
        <w:br/>
      </w:r>
      <w:r>
        <w:rPr>
          <w:rFonts w:ascii="Proxima Nova Rg" w:hAnsi="Proxima Nova Rg"/>
          <w:color w:val="000000"/>
          <w:sz w:val="21"/>
        </w:rPr>
      </w:r>
    </w:p>
    <w:p>
      <w:pPr>
        <w:pStyle w:val="ListBullet2"/>
      </w:pPr>
      <w:r>
        <w:t>Google Ads API Report Types</w:t>
        <w:br/>
      </w:r>
      <w:r>
        <w:rPr>
          <w:rFonts w:ascii="Proxima Nova Rg" w:hAnsi="Proxima Nova Rg"/>
          <w:color w:val="000000"/>
          <w:sz w:val="21"/>
        </w:rPr>
      </w:r>
    </w:p>
    <w:p>
      <w:pPr>
        <w:pStyle w:val="ListBullet2"/>
      </w:pPr>
      <w:r>
        <w:t>Google Ads API Selector Fields</w:t>
        <w:br/>
      </w:r>
      <w:r>
        <w:rPr>
          <w:rFonts w:ascii="Proxima Nova Rg" w:hAnsi="Proxima Nova Rg"/>
          <w:color w:val="000000"/>
          <w:sz w:val="21"/>
        </w:rPr>
      </w:r>
    </w:p>
    <w:p>
      <w:pPr>
        <w:pStyle w:val="ListBullet2"/>
      </w:pPr>
      <w:r>
        <w:t>NOTE: App Campaigns only support a small subset of reports. No data will be synced for any other report types.</w:t>
        <w:br/>
      </w:r>
      <w:r>
        <w:rPr>
          <w:rFonts w:ascii="Proxima Nova Rg" w:hAnsi="Proxima Nova Rg"/>
          <w:color w:val="000000"/>
          <w:sz w:val="21"/>
        </w:rPr>
      </w:r>
    </w:p>
    <w:p>
      <w:pPr>
        <w:pStyle w:val="ListBullet2"/>
      </w:pPr>
      <w:r>
        <w:t>NOTE: The following reports are not supported:</w:t>
        <w:br/>
      </w:r>
      <w:r>
        <w:rPr>
          <w:rFonts w:ascii="Proxima Nova Rg" w:hAnsi="Proxima Nova Rg"/>
          <w:color w:val="000000"/>
          <w:sz w:val="21"/>
        </w:rPr>
      </w:r>
    </w:p>
    <w:p>
      <w:pPr>
        <w:pStyle w:val="ListBullet2"/>
      </w:pPr>
      <w:r>
        <w:t>BUDGET_PERFORMANCE_REPORT</w:t>
        <w:br/>
      </w:r>
      <w:r>
        <w:rPr>
          <w:rFonts w:ascii="Proxima Nova Rg" w:hAnsi="Proxima Nova Rg"/>
          <w:color w:val="000000"/>
          <w:sz w:val="21"/>
        </w:rPr>
      </w:r>
    </w:p>
    <w:p>
      <w:pPr>
        <w:pStyle w:val="ListBullet2"/>
      </w:pPr>
      <w:r>
        <w:t>CAMPAIGN_CRITERIA_REPORT</w:t>
        <w:br/>
      </w:r>
      <w:r>
        <w:rPr>
          <w:rFonts w:ascii="Proxima Nova Rg" w:hAnsi="Proxima Nova Rg"/>
          <w:color w:val="000000"/>
          <w:sz w:val="21"/>
        </w:rPr>
      </w:r>
    </w:p>
    <w:p>
      <w:pPr>
        <w:pStyle w:val="ListBullet2"/>
      </w:pPr>
      <w:r>
        <w:t>CAMPAIGN_GROUP_PERFORMANCE_REPORT</w:t>
        <w:br/>
      </w:r>
      <w:r>
        <w:rPr>
          <w:rFonts w:ascii="Proxima Nova Rg" w:hAnsi="Proxima Nova Rg"/>
          <w:color w:val="000000"/>
          <w:sz w:val="21"/>
        </w:rPr>
      </w:r>
    </w:p>
    <w:p>
      <w:pPr>
        <w:pStyle w:val="ListBullet2"/>
      </w:pPr>
      <w:r>
        <w:t>CAMPAIGN_NEGATIVE_KEYWORDS_PERFORMANCE_REPORT</w:t>
        <w:br/>
      </w:r>
      <w:r>
        <w:rPr>
          <w:rFonts w:ascii="Proxima Nova Rg" w:hAnsi="Proxima Nova Rg"/>
          <w:color w:val="000000"/>
          <w:sz w:val="21"/>
        </w:rPr>
      </w:r>
    </w:p>
    <w:p>
      <w:pPr>
        <w:pStyle w:val="ListBullet2"/>
      </w:pPr>
      <w:r>
        <w:t>CAMPAIGN_NEGATIVE_LOCATIONS_REPORT</w:t>
        <w:br/>
      </w:r>
      <w:r>
        <w:rPr>
          <w:rFonts w:ascii="Proxima Nova Rg" w:hAnsi="Proxima Nova Rg"/>
          <w:color w:val="000000"/>
          <w:sz w:val="21"/>
        </w:rPr>
      </w:r>
    </w:p>
    <w:p>
      <w:pPr>
        <w:pStyle w:val="ListBullet2"/>
      </w:pPr>
      <w:r>
        <w:t>CAMPAIGN_NEGATIVE_PLACEMENTS_PERFORMANCE_REPORT</w:t>
        <w:br/>
      </w:r>
      <w:r>
        <w:rPr>
          <w:rFonts w:ascii="Proxima Nova Rg" w:hAnsi="Proxima Nova Rg"/>
          <w:color w:val="000000"/>
          <w:sz w:val="21"/>
        </w:rPr>
      </w:r>
    </w:p>
    <w:p>
      <w:pPr>
        <w:pStyle w:val="ListBullet2"/>
      </w:pPr>
      <w:r>
        <w:t>CAMPAIGN_SHARED_SET_REPORT</w:t>
        <w:br/>
      </w:r>
      <w:r>
        <w:rPr>
          <w:rFonts w:ascii="Proxima Nova Rg" w:hAnsi="Proxima Nova Rg"/>
          <w:color w:val="000000"/>
          <w:sz w:val="21"/>
        </w:rPr>
      </w:r>
    </w:p>
    <w:p>
      <w:pPr>
        <w:pStyle w:val="ListBullet2"/>
      </w:pPr>
      <w:r>
        <w:t>LABEL_REPORT</w:t>
        <w:br/>
      </w:r>
      <w:r>
        <w:rPr>
          <w:rFonts w:ascii="Proxima Nova Rg" w:hAnsi="Proxima Nova Rg"/>
          <w:color w:val="000000"/>
          <w:sz w:val="21"/>
        </w:rPr>
      </w:r>
    </w:p>
    <w:p>
      <w:pPr>
        <w:pStyle w:val="ListBullet2"/>
      </w:pPr>
      <w:r>
        <w:t>SHARED_SET_CRITERIA_REPORT</w:t>
        <w:br/>
      </w:r>
      <w:r>
        <w:rPr>
          <w:rFonts w:ascii="Proxima Nova Rg" w:hAnsi="Proxima Nova Rg"/>
          <w:color w:val="000000"/>
          <w:sz w:val="21"/>
        </w:rPr>
      </w:r>
    </w:p>
    <w:p>
      <w:pPr>
        <w:pStyle w:val="ListBullet2"/>
      </w:pPr>
      <w:r>
        <w:t>SHARED_SET_REPORT</w:t>
        <w:br/>
      </w:r>
      <w:r>
        <w:rPr>
          <w:rFonts w:ascii="Proxima Nova Rg" w:hAnsi="Proxima Nova Rg"/>
          <w:color w:val="000000"/>
          <w:sz w:val="21"/>
        </w:rPr>
      </w:r>
    </w:p>
    <w:p>
      <w:pPr>
        <w:pStyle w:val="ListBullet2"/>
      </w:pPr>
      <w:r>
        <w:t>Click OK to save the report.</w:t>
        <w:br/>
      </w:r>
      <w:r>
        <w:rPr>
          <w:rFonts w:ascii="Proxima Nova Rg" w:hAnsi="Proxima Nova Rg"/>
          <w:color w:val="000000"/>
          <w:sz w:val="21"/>
        </w:rPr>
      </w:r>
    </w:p>
    <w:p>
      <w:pPr>
        <w:pStyle w:val="ListBullet2"/>
      </w:pPr>
      <w:r>
        <w:t>If you want to add another report, repeat steps 6 — 9.</w:t>
        <w:br/>
      </w:r>
      <w:r>
        <w:rPr>
          <w:rFonts w:ascii="Proxima Nova Rg" w:hAnsi="Proxima Nova Rg"/>
          <w:color w:val="000000"/>
          <w:sz w:val="21"/>
        </w:rPr>
      </w:r>
    </w:p>
    <w:p>
      <w:pPr>
        <w:pStyle w:val="ListBullet2"/>
      </w:pPr>
      <w:r>
        <w:t>(Optional) If you want to set the conversion window size, click Show Advanced Options to show conversion window size options.</w:t>
        <w:br/>
      </w:r>
      <w:r>
        <w:rPr>
          <w:rFonts w:ascii="Proxima Nova Rg" w:hAnsi="Proxima Nova Rg"/>
          <w:color w:val="000000"/>
          <w:sz w:val="21"/>
        </w:rPr>
      </w:r>
    </w:p>
    <w:p>
      <w:pPr>
        <w:pStyle w:val="ListBullet2"/>
      </w:pPr>
      <w:r>
        <w:t>(Optional) Select from the drop-down list the size of a conversion window or set it to AUTO if you want to detect the window size automatically.</w:t>
        <w:br/>
      </w:r>
      <w:r>
        <w:rPr>
          <w:rFonts w:ascii="Proxima Nova Rg" w:hAnsi="Proxima Nova Rg"/>
          <w:color w:val="000000"/>
          <w:sz w:val="21"/>
        </w:rPr>
      </w:r>
    </w:p>
    <w:p>
      <w:pPr>
        <w:pStyle w:val="ListBullet2"/>
      </w:pPr>
      <w:r>
        <w:t>Select how many months of reporting data you'd like to include in your initial sync.</w:t>
        <w:br/>
      </w:r>
      <w:r>
        <w:rPr>
          <w:rFonts w:ascii="Proxima Nova Rg" w:hAnsi="Proxima Nova Rg"/>
          <w:color w:val="000000"/>
          <w:sz w:val="21"/>
        </w:rPr>
      </w:r>
    </w:p>
    <w:p>
      <w:pPr>
        <w:pStyle w:val="ListBullet2"/>
      </w:pPr>
      <w:r>
        <w:t>Click Save &amp; Test.</w:t>
        <w:br/>
      </w:r>
      <w:r>
        <w:rPr>
          <w:rFonts w:ascii="Proxima Nova Rg" w:hAnsi="Proxima Nova Rg"/>
          <w:color w:val="000000"/>
          <w:sz w:val="21"/>
        </w:rPr>
      </w:r>
    </w:p>
    <w:p>
      <w:pPr>
        <w:pStyle w:val="ListBullet2"/>
      </w:pPr>
      <w:r>
        <w:t>Upon successful completion of the setup tests, review your schema. The schema includes your saved reports, predefined metadata, and prebuilt reports tables.</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