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USERVOICE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uservoice.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UserVoice to Fivetran, you need administrator access to an active UserVoice site.</w:t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Bullet2"/>
      </w:pPr>
      <w:r>
        <w:t>Go to your UserVoice admin console.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Create an API key in Settings → Integrations → UserVoice API keys.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In Fivetran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top right corner of your Fivetran Dashboard, click on + Connector.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the UserVoice connector to launch the setup form.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Destination schema name. The schema name is permanent and cannot be changed after integration is created.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Domain of your UserVoice site.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Key and Secret components of the API key that you created in UserVoice.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take it from here and sync your UserVoice data.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