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34F27FBB" w:rsidP="4BDE52AE" w:rsidRDefault="34F27FBB" w14:paraId="754D41C0" w14:textId="73A0CD94">
      <w:pPr>
        <w:rPr>
          <w:sz w:val="24"/>
          <w:szCs w:val="24"/>
        </w:rPr>
      </w:pPr>
      <w:r w:rsidRPr="4BDE52AE" w:rsidR="254878F5">
        <w:rPr>
          <w:sz w:val="24"/>
          <w:szCs w:val="24"/>
        </w:rPr>
        <w:t xml:space="preserve">CONTRACTS IN PESOS DISCLOSURE </w:t>
      </w:r>
    </w:p>
    <w:p w:rsidR="34F27FBB" w:rsidP="4BDE52AE" w:rsidRDefault="34F27FBB" w14:paraId="395AA69C" w14:textId="119F3260">
      <w:pPr>
        <w:pStyle w:val="Normal"/>
        <w:rPr>
          <w:sz w:val="24"/>
          <w:szCs w:val="24"/>
        </w:rPr>
      </w:pPr>
      <w:r w:rsidRPr="4BDE52AE" w:rsidR="254878F5">
        <w:rPr>
          <w:sz w:val="24"/>
          <w:szCs w:val="24"/>
        </w:rPr>
        <w:t xml:space="preserve"> </w:t>
      </w:r>
    </w:p>
    <w:p w:rsidR="34F27FBB" w:rsidP="4BDE52AE" w:rsidRDefault="34F27FBB" w14:paraId="2AC00609" w14:textId="29FA944E">
      <w:pPr>
        <w:pStyle w:val="Normal"/>
        <w:rPr>
          <w:sz w:val="24"/>
          <w:szCs w:val="24"/>
        </w:rPr>
      </w:pPr>
      <w:r w:rsidRPr="4BDE52AE" w:rsidR="254878F5">
        <w:rPr>
          <w:sz w:val="24"/>
          <w:szCs w:val="24"/>
        </w:rPr>
        <w:t>Please be advised that any</w:t>
      </w:r>
      <w:r w:rsidRPr="4BDE52AE" w:rsidR="254878F5">
        <w:rPr>
          <w:sz w:val="24"/>
          <w:szCs w:val="24"/>
        </w:rPr>
        <w:t xml:space="preserve"> contract written in pesos may be subject to </w:t>
      </w:r>
      <w:r w:rsidRPr="4BDE52AE" w:rsidR="254878F5">
        <w:rPr>
          <w:sz w:val="24"/>
          <w:szCs w:val="24"/>
        </w:rPr>
        <w:t>additional</w:t>
      </w:r>
      <w:r w:rsidRPr="4BDE52AE" w:rsidR="254878F5">
        <w:rPr>
          <w:sz w:val="24"/>
          <w:szCs w:val="24"/>
        </w:rPr>
        <w:t xml:space="preserve"> funds </w:t>
      </w:r>
      <w:r w:rsidRPr="4BDE52AE" w:rsidR="254878F5">
        <w:rPr>
          <w:sz w:val="24"/>
          <w:szCs w:val="24"/>
        </w:rPr>
        <w:t>required</w:t>
      </w:r>
      <w:r w:rsidRPr="4BDE52AE" w:rsidR="254878F5">
        <w:rPr>
          <w:sz w:val="24"/>
          <w:szCs w:val="24"/>
        </w:rPr>
        <w:t xml:space="preserve"> to close to cover the balance of the purchase price based on the exchange rate. </w:t>
      </w:r>
      <w:r w:rsidRPr="4BDE52AE" w:rsidR="254878F5">
        <w:rPr>
          <w:sz w:val="24"/>
          <w:szCs w:val="24"/>
        </w:rPr>
        <w:t>MoXi</w:t>
      </w:r>
      <w:r w:rsidRPr="4BDE52AE" w:rsidR="254878F5">
        <w:rPr>
          <w:sz w:val="24"/>
          <w:szCs w:val="24"/>
        </w:rPr>
        <w:t xml:space="preserve">® holds no responsibility for exchange rate fluctuations and for any resulting </w:t>
      </w:r>
      <w:r w:rsidRPr="4BDE52AE" w:rsidR="254878F5">
        <w:rPr>
          <w:sz w:val="24"/>
          <w:szCs w:val="24"/>
        </w:rPr>
        <w:t>additional</w:t>
      </w:r>
      <w:r w:rsidRPr="4BDE52AE" w:rsidR="254878F5">
        <w:rPr>
          <w:sz w:val="24"/>
          <w:szCs w:val="24"/>
        </w:rPr>
        <w:t xml:space="preserve"> funds to close related to the exchange rate. </w:t>
      </w:r>
    </w:p>
    <w:p w:rsidR="34F27FBB" w:rsidP="4BDE52AE" w:rsidRDefault="34F27FBB" w14:paraId="6DBEAB69" w14:textId="00EF6C19">
      <w:pPr>
        <w:pStyle w:val="Normal"/>
        <w:rPr>
          <w:sz w:val="24"/>
          <w:szCs w:val="24"/>
        </w:rPr>
      </w:pPr>
      <w:r w:rsidRPr="4BDE52AE" w:rsidR="254878F5">
        <w:rPr>
          <w:sz w:val="24"/>
          <w:szCs w:val="24"/>
        </w:rPr>
        <w:t xml:space="preserve"> </w:t>
      </w:r>
      <w:r w:rsidRPr="4BDE52AE" w:rsidR="254878F5">
        <w:rPr>
          <w:sz w:val="24"/>
          <w:szCs w:val="24"/>
        </w:rPr>
        <w:t xml:space="preserve">Our process for contracts written in pesos is as follows: </w:t>
      </w:r>
    </w:p>
    <w:p w:rsidR="34F27FBB" w:rsidP="4BDE52AE" w:rsidRDefault="34F27FBB" w14:paraId="00AA7ACE" w14:textId="4B457B38">
      <w:pPr>
        <w:pStyle w:val="Normal"/>
        <w:rPr>
          <w:sz w:val="24"/>
          <w:szCs w:val="24"/>
        </w:rPr>
      </w:pPr>
      <w:r w:rsidRPr="4BDE52AE" w:rsidR="254878F5">
        <w:rPr>
          <w:sz w:val="24"/>
          <w:szCs w:val="24"/>
        </w:rPr>
        <w:t xml:space="preserve"> </w:t>
      </w:r>
      <w:r w:rsidRPr="4BDE52AE" w:rsidR="254878F5">
        <w:rPr>
          <w:sz w:val="24"/>
          <w:szCs w:val="24"/>
        </w:rPr>
        <w:t xml:space="preserve">MoXi® will calculate the USD purchase price as of the date of the executed contract, using the official DOF exchange rate for that date. We do not adjust the sales price after this date. </w:t>
      </w:r>
    </w:p>
    <w:p w:rsidR="34F27FBB" w:rsidP="4BDE52AE" w:rsidRDefault="34F27FBB" w14:paraId="4332F282" w14:textId="489BE420">
      <w:pPr>
        <w:pStyle w:val="Normal"/>
        <w:rPr>
          <w:sz w:val="24"/>
          <w:szCs w:val="24"/>
        </w:rPr>
      </w:pPr>
      <w:r w:rsidRPr="4BDE52AE" w:rsidR="254878F5">
        <w:rPr>
          <w:sz w:val="24"/>
          <w:szCs w:val="24"/>
        </w:rPr>
        <w:t xml:space="preserve"> </w:t>
      </w:r>
      <w:r w:rsidRPr="4BDE52AE" w:rsidR="254878F5">
        <w:rPr>
          <w:sz w:val="24"/>
          <w:szCs w:val="24"/>
        </w:rPr>
        <w:t xml:space="preserve">MoXi® will then calculate the USD loan amount and LTV based on the calculated USD purchase price. </w:t>
      </w:r>
    </w:p>
    <w:p w:rsidR="34F27FBB" w:rsidP="4BDE52AE" w:rsidRDefault="34F27FBB" w14:paraId="45112BD8" w14:textId="1CA3ABE5">
      <w:pPr>
        <w:pStyle w:val="Normal"/>
        <w:rPr>
          <w:sz w:val="24"/>
          <w:szCs w:val="24"/>
        </w:rPr>
      </w:pPr>
      <w:r w:rsidRPr="4BDE52AE" w:rsidR="254878F5">
        <w:rPr>
          <w:sz w:val="24"/>
          <w:szCs w:val="24"/>
        </w:rPr>
        <w:t xml:space="preserve"> </w:t>
      </w:r>
      <w:r w:rsidRPr="4BDE52AE" w:rsidR="254878F5">
        <w:rPr>
          <w:sz w:val="24"/>
          <w:szCs w:val="24"/>
        </w:rPr>
        <w:t xml:space="preserve">All MoXi® closing costs are calculated in USD, based on the calculated amounts above. </w:t>
      </w:r>
    </w:p>
    <w:p w:rsidR="34F27FBB" w:rsidP="4BDE52AE" w:rsidRDefault="34F27FBB" w14:paraId="1604BA34" w14:textId="499ED765">
      <w:pPr>
        <w:pStyle w:val="Normal"/>
        <w:rPr>
          <w:sz w:val="24"/>
          <w:szCs w:val="24"/>
        </w:rPr>
      </w:pPr>
      <w:r w:rsidRPr="4BDE52AE" w:rsidR="254878F5">
        <w:rPr>
          <w:sz w:val="24"/>
          <w:szCs w:val="24"/>
        </w:rPr>
        <w:t xml:space="preserve"> </w:t>
      </w:r>
      <w:r w:rsidRPr="4BDE52AE" w:rsidR="254878F5">
        <w:rPr>
          <w:sz w:val="24"/>
          <w:szCs w:val="24"/>
        </w:rPr>
        <w:t xml:space="preserve">MoXi® calculates the USD appraisal value according to our appraisal policy, and the valuation does not change after that date. </w:t>
      </w:r>
    </w:p>
    <w:p w:rsidR="34F27FBB" w:rsidP="4BDE52AE" w:rsidRDefault="34F27FBB" w14:paraId="13DB15DC" w14:textId="52C1B29C">
      <w:pPr>
        <w:pStyle w:val="Normal"/>
        <w:rPr>
          <w:sz w:val="24"/>
          <w:szCs w:val="24"/>
        </w:rPr>
      </w:pPr>
      <w:r w:rsidRPr="4BDE52AE" w:rsidR="254878F5">
        <w:rPr>
          <w:sz w:val="24"/>
          <w:szCs w:val="24"/>
        </w:rPr>
        <w:t xml:space="preserve"> </w:t>
      </w:r>
    </w:p>
    <w:p w:rsidR="34F27FBB" w:rsidP="4BDE52AE" w:rsidRDefault="34F27FBB" w14:paraId="2DE7DC15" w14:textId="45A17410">
      <w:pPr>
        <w:pStyle w:val="Normal"/>
        <w:rPr>
          <w:sz w:val="24"/>
          <w:szCs w:val="24"/>
        </w:rPr>
      </w:pPr>
      <w:r w:rsidRPr="4BDE52AE" w:rsidR="254878F5">
        <w:rPr>
          <w:sz w:val="24"/>
          <w:szCs w:val="24"/>
        </w:rPr>
        <w:t xml:space="preserve"> </w:t>
      </w:r>
    </w:p>
    <w:p w:rsidR="34F27FBB" w:rsidP="4BDE52AE" w:rsidRDefault="34F27FBB" w14:paraId="762E3A1A" w14:textId="533341CD">
      <w:pPr>
        <w:pStyle w:val="Normal"/>
        <w:rPr>
          <w:sz w:val="24"/>
          <w:szCs w:val="24"/>
        </w:rPr>
      </w:pPr>
      <w:r w:rsidRPr="4BDE52AE" w:rsidR="254878F5">
        <w:rPr>
          <w:sz w:val="24"/>
          <w:szCs w:val="24"/>
        </w:rPr>
        <w:t xml:space="preserve"> </w:t>
      </w:r>
    </w:p>
    <w:p w:rsidR="34F27FBB" w:rsidP="4BDE52AE" w:rsidRDefault="34F27FBB" w14:paraId="7F872E94" w14:textId="2981B9F4">
      <w:pPr>
        <w:pStyle w:val="Normal"/>
        <w:rPr>
          <w:sz w:val="24"/>
          <w:szCs w:val="24"/>
        </w:rPr>
      </w:pPr>
      <w:r w:rsidRPr="4BDE52AE" w:rsidR="254878F5">
        <w:rPr>
          <w:sz w:val="24"/>
          <w:szCs w:val="24"/>
        </w:rPr>
        <w:t xml:space="preserve"> </w:t>
      </w:r>
    </w:p>
    <w:p w:rsidR="138FA746" w:rsidP="4BDE52AE" w:rsidRDefault="138FA746" w14:paraId="024B7A13" w14:textId="6C95CCA3">
      <w:pPr>
        <w:pStyle w:val="Normal"/>
        <w:rPr>
          <w:sz w:val="24"/>
          <w:szCs w:val="24"/>
        </w:rPr>
      </w:pPr>
    </w:p>
    <w:p w:rsidR="138FA746" w:rsidP="4BDE52AE" w:rsidRDefault="138FA746" w14:paraId="3F2F615D" w14:textId="15AD443F">
      <w:pPr>
        <w:rPr>
          <w:sz w:val="24"/>
          <w:szCs w:val="24"/>
        </w:rPr>
      </w:pPr>
    </w:p>
    <w:sectPr w:rsidR="00C5587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305907"/>
    <w:multiLevelType w:val="multilevel"/>
    <w:tmpl w:val="445E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1383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909"/>
    <w:rsid w:val="002A2810"/>
    <w:rsid w:val="00810164"/>
    <w:rsid w:val="00C31909"/>
    <w:rsid w:val="00C5587D"/>
    <w:rsid w:val="138FA746"/>
    <w:rsid w:val="254878F5"/>
    <w:rsid w:val="34F27FBB"/>
    <w:rsid w:val="4BDE5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AA94BB"/>
  <w15:chartTrackingRefBased/>
  <w15:docId w15:val="{B847B5E9-FD14-4390-8058-6F8109F2A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3190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90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90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3190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3190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3190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3190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3190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3190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3190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3190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31909"/>
    <w:rPr>
      <w:rFonts w:eastAsiaTheme="majorEastAsia" w:cstheme="majorBidi"/>
      <w:color w:val="272727" w:themeColor="text1" w:themeTint="D8"/>
    </w:rPr>
  </w:style>
  <w:style w:type="paragraph" w:styleId="Title">
    <w:name w:val="Title"/>
    <w:basedOn w:val="Normal"/>
    <w:next w:val="Normal"/>
    <w:link w:val="TitleChar"/>
    <w:uiPriority w:val="10"/>
    <w:qFormat/>
    <w:rsid w:val="00C3190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190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3190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3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909"/>
    <w:pPr>
      <w:spacing w:before="160"/>
      <w:jc w:val="center"/>
    </w:pPr>
    <w:rPr>
      <w:i/>
      <w:iCs/>
      <w:color w:val="404040" w:themeColor="text1" w:themeTint="BF"/>
    </w:rPr>
  </w:style>
  <w:style w:type="character" w:styleId="QuoteChar" w:customStyle="1">
    <w:name w:val="Quote Char"/>
    <w:basedOn w:val="DefaultParagraphFont"/>
    <w:link w:val="Quote"/>
    <w:uiPriority w:val="29"/>
    <w:rsid w:val="00C31909"/>
    <w:rPr>
      <w:i/>
      <w:iCs/>
      <w:color w:val="404040" w:themeColor="text1" w:themeTint="BF"/>
    </w:rPr>
  </w:style>
  <w:style w:type="paragraph" w:styleId="ListParagraph">
    <w:name w:val="List Paragraph"/>
    <w:basedOn w:val="Normal"/>
    <w:uiPriority w:val="34"/>
    <w:qFormat/>
    <w:rsid w:val="00C31909"/>
    <w:pPr>
      <w:ind w:left="720"/>
      <w:contextualSpacing/>
    </w:pPr>
  </w:style>
  <w:style w:type="character" w:styleId="IntenseEmphasis">
    <w:name w:val="Intense Emphasis"/>
    <w:basedOn w:val="DefaultParagraphFont"/>
    <w:uiPriority w:val="21"/>
    <w:qFormat/>
    <w:rsid w:val="00C31909"/>
    <w:rPr>
      <w:i/>
      <w:iCs/>
      <w:color w:val="0F4761" w:themeColor="accent1" w:themeShade="BF"/>
    </w:rPr>
  </w:style>
  <w:style w:type="paragraph" w:styleId="IntenseQuote">
    <w:name w:val="Intense Quote"/>
    <w:basedOn w:val="Normal"/>
    <w:next w:val="Normal"/>
    <w:link w:val="IntenseQuoteChar"/>
    <w:uiPriority w:val="30"/>
    <w:qFormat/>
    <w:rsid w:val="00C3190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31909"/>
    <w:rPr>
      <w:i/>
      <w:iCs/>
      <w:color w:val="0F4761" w:themeColor="accent1" w:themeShade="BF"/>
    </w:rPr>
  </w:style>
  <w:style w:type="character" w:styleId="IntenseReference">
    <w:name w:val="Intense Reference"/>
    <w:basedOn w:val="DefaultParagraphFont"/>
    <w:uiPriority w:val="32"/>
    <w:qFormat/>
    <w:rsid w:val="00C31909"/>
    <w:rPr>
      <w:b/>
      <w:bCs/>
      <w:smallCaps/>
      <w:color w:val="0F4761" w:themeColor="accent1" w:themeShade="BF"/>
      <w:spacing w:val="5"/>
    </w:rPr>
  </w:style>
  <w:style w:type="paragraph" w:styleId="NormalWeb">
    <w:name w:val="Normal (Web)"/>
    <w:basedOn w:val="Normal"/>
    <w:uiPriority w:val="99"/>
    <w:semiHidden/>
    <w:unhideWhenUsed/>
    <w:rsid w:val="00C31909"/>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C319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7515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5507C40A-9DD8-4DF7-8FE3-EC8678CC40E0}"/>
</file>

<file path=customXml/itemProps2.xml><?xml version="1.0" encoding="utf-8"?>
<ds:datastoreItem xmlns:ds="http://schemas.openxmlformats.org/officeDocument/2006/customXml" ds:itemID="{59ED0DF6-B03F-426A-9E19-4BA1B4979EF8}"/>
</file>

<file path=customXml/itemProps3.xml><?xml version="1.0" encoding="utf-8"?>
<ds:datastoreItem xmlns:ds="http://schemas.openxmlformats.org/officeDocument/2006/customXml" ds:itemID="{963CB060-1B62-4919-BEA4-E6EFF78BC89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3</cp:revision>
  <dcterms:created xsi:type="dcterms:W3CDTF">2024-06-17T05:26:00Z</dcterms:created>
  <dcterms:modified xsi:type="dcterms:W3CDTF">2025-11-07T21:34:12Z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dfced352-4fc9-4734-833b-f2cbf8a8b9d5</vt:lpwstr>
  </property>
  <property fmtid="{D5CDD505-2E9C-101B-9397-08002B2CF9AE}" pid="3" name="ContentTypeId">
    <vt:lpwstr>0x0101003C24A15002F8BF4FA7B8231B1EB51FD0</vt:lpwstr>
  </property>
  <property fmtid="{D5CDD505-2E9C-101B-9397-08002B2CF9AE}" pid="4" name="MediaServiceImageTags">
    <vt:lpwstr/>
  </property>
</Properties>
</file>