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Trusteando Protocol</w:t>
      </w:r>
    </w:p>
    <w:p>
      <w:pPr>
        <w:spacing w:after="200"/>
      </w:pPr>
      <w:r>
        <w:rPr>
          <w:color w:val="2C3E7A"/>
          <w:sz w:val="28"/>
          <w:szCs w:val="28"/>
        </w:rPr>
        <w:t xml:space="preserve">Research Directions &amp; Future Proposals</w:t>
      </w:r>
    </w:p>
    <w:p>
      <w:pPr>
        <w:spacing w:after="400"/>
      </w:pPr>
      <w:r>
        <w:rPr>
          <w:i/>
          <w:iCs/>
          <w:color w:val="666666"/>
        </w:rPr>
        <w:t xml:space="preserve">v0.1 — companion document to the Trusteando Protocol Whitepaper v0.2</w:t>
      </w:r>
    </w:p>
    <w:p>
      <w:pPr>
        <w:pStyle w:val="Heading1"/>
        <w:spacing w:before="400" w:after="200"/>
      </w:pPr>
      <w:r>
        <w:t xml:space="preserve">Sobre este documento</w:t>
      </w:r>
    </w:p>
    <w:p>
      <w:pPr>
        <w:spacing w:before="80" w:after="160"/>
        <w:jc w:val="both"/>
      </w:pPr>
      <w:r>
        <w:t xml:space="preserve">Este documento recoge propuestas de mejora e investigación para versiones futuras del protocolo Trusteando. Las ideas aquí contenidas son líneas abiertas, no especificaciones comprometidas. El criterio de separación respecto al whitepaper principal es: si una propuesta requiere nueva infraestructura, dependencias externas, o implica cambios de diseño significativos, pertenece aquí hasta que sea suficientemente madura para incorporarse a la especificación.</w:t>
      </w:r>
    </w:p>
    <w:p>
      <w:pPr>
        <w:pStyle w:val="Heading1"/>
        <w:spacing w:before="400" w:after="200"/>
      </w:pPr>
      <w:r>
        <w:t xml:space="preserve">P1 — Anclaje híbrido con IPFS para resiliencia ante ataques DNS</w:t>
      </w:r>
    </w:p>
    <w:p>
      <w:pPr>
        <w:spacing w:before="80" w:after="160"/>
        <w:jc w:val="both"/>
      </w:pPr>
      <w:r>
        <w:t xml:space="preserve">Problema: un dominio web puede ser confiscado o expirar, haciendo inaccesibles las credenciales publicadas bajo él.</w:t>
      </w:r>
    </w:p>
    <w:p>
      <w:pPr>
        <w:spacing w:before="80" w:after="160"/>
        <w:jc w:val="both"/>
      </w:pPr>
      <w:r>
        <w:t xml:space="preserve">Propuesta: cuando una entidad actualiza su espacio trusteando/, calcula el hash raíz de Merkle de todo el árbol y lo publica en su URL y en IPFS bajo su identificador autónomo. Un verificador que dude de si un servidor ha sido comprometido compara ambos hashes. Esta arquitectura hace que comprometer la identidad de una entidad requiera actuar simultáneamente sobre el DNS, el servidor web y la red IPFS.</w:t>
      </w:r>
    </w:p>
    <w:p>
      <w:pPr>
        <w:spacing w:before="80" w:after="160"/>
        <w:jc w:val="both"/>
      </w:pPr>
      <w:r>
        <w:rPr>
          <w:i/>
          <w:iCs/>
          <w:color w:val="666666"/>
        </w:rPr>
        <w:t xml:space="preserve">Consideración: introduce dependencia de infraestructura externa (IPFS). Requiere evaluación de estabilidad y permanencia antes de incorporarse a la especificación.</w:t>
      </w:r>
    </w:p>
    <w:p>
      <w:pPr>
        <w:pStyle w:val="Heading1"/>
        <w:spacing w:before="400" w:after="200"/>
      </w:pPr>
      <w:r>
        <w:t xml:space="preserve">P2 — Blueprints: plantillas de interoperabilidad por dominio</w:t>
      </w:r>
    </w:p>
    <w:p>
      <w:pPr>
        <w:spacing w:before="80" w:after="160"/>
        <w:jc w:val="both"/>
      </w:pPr>
      <w:r>
        <w:t xml:space="preserve">Problema: el vocabulario abierto del protocolo puede generar fragmentación semántica — diferentes comunidades usando términos distintos para el mismo concepto, reduciendo la interoperabilidad.</w:t>
      </w:r>
    </w:p>
    <w:p>
      <w:pPr>
        <w:spacing w:before="80" w:after="160"/>
        <w:jc w:val="both"/>
      </w:pPr>
      <w:r>
        <w:t xml:space="preserve">Propuesta: un Blueprint es un nodo en el grafo que define una estructura de carpetas y vocabulario estándar para un sector. Por ejemplo, blueprint/universidad/v1 define qué carpetas debe exponer una universidad y qué términos usar para sus relaciones. Las entidades declaran adhesión: [adheres-to blueprint/universidad/v1]. Un buscador de profesores sabe exactamente en qué carpetas mirar si el nodo sigue el blueprint del sector educativo. Los blueprints son nodos del grafo como cualquier otro — verificables, versionables, y navegables.</w:t>
      </w:r>
    </w:p>
    <w:p>
      <w:pPr>
        <w:spacing w:before="80" w:after="160"/>
        <w:jc w:val="both"/>
      </w:pPr>
      <w:r>
        <w:rPr>
          <w:i/>
          <w:iCs/>
          <w:color w:val="666666"/>
        </w:rPr>
        <w:t xml:space="preserve">Complejidad baja, impacto alto en interoperabilidad. Candidato natural para v0.3.</w:t>
      </w:r>
    </w:p>
    <w:p>
      <w:pPr>
        <w:pStyle w:val="Heading1"/>
        <w:spacing w:before="400" w:after="200"/>
      </w:pPr>
      <w:r>
        <w:t xml:space="preserve">P3 — Fast-Track Revocation: canal de revocación de alta prioridad</w:t>
      </w:r>
    </w:p>
    <w:p>
      <w:pPr>
        <w:spacing w:before="80" w:after="160"/>
        <w:jc w:val="both"/>
      </w:pPr>
      <w:r>
        <w:t xml:space="preserve">Problema: el modelo de réplicas observadoras introduce una ventana de inconsistencia entre revocación y propagación. Para control de acceso en tiempo real esta ventana puede ser peligrosa.</w:t>
      </w:r>
    </w:p>
    <w:p>
      <w:pPr>
        <w:spacing w:before="80" w:after="160"/>
        <w:jc w:val="both"/>
      </w:pPr>
      <w:r>
        <w:t xml:space="preserve">Propuesta: las réplicas sincronizan las entradas de registry/compromised/ con prioridad máxima sobre cualquier otra actualización. Un Bloom Filter o lista de revocación compacta (CRL) firmada por el emisor permite a las réplicas verificar revocaciones localmente sin consulta online. La combinación de propagación prioritaria y CRL firmada reduce la ventana de inconsistencia de minutos a segundos, haciendo el sistema apto para control de acceso físico o lógico en tiempo real.</w:t>
      </w:r>
    </w:p>
    <w:p>
      <w:pPr>
        <w:spacing w:before="80" w:after="160"/>
        <w:jc w:val="both"/>
      </w:pPr>
      <w:r>
        <w:rPr>
          <w:i/>
          <w:iCs/>
          <w:color w:val="666666"/>
        </w:rPr>
        <w:t xml:space="preserve">Requiere especificación del formato de CRL y del mecanismo de sincronización prioritaria.</w:t>
      </w:r>
    </w:p>
    <w:p>
      <w:pPr>
        <w:pStyle w:val="Heading1"/>
        <w:spacing w:before="400" w:after="200"/>
      </w:pPr>
      <w:r>
        <w:t xml:space="preserve">P4 — ZK-Proofs para agregación de cadenas de verificación</w:t>
      </w:r>
    </w:p>
    <w:p>
      <w:pPr>
        <w:spacing w:before="80" w:after="160"/>
        <w:jc w:val="both"/>
      </w:pPr>
      <w:r>
        <w:t xml:space="preserve">Problema: verificar un hecho al final de una cadena profunda — root, universidad, facultad, departamento, profesor — requiere múltiples peticiones y procesamiento secuencial de HMACs y firmas, penalizando dispositivos con recursos limitados.</w:t>
      </w:r>
    </w:p>
    <w:p>
      <w:pPr>
        <w:spacing w:before="80" w:after="160"/>
        <w:jc w:val="both"/>
      </w:pPr>
      <w:r>
        <w:t xml:space="preserve">Propuesta: el emisor genera una prueba ZK (zk-SNARK) que demuestra la existencia de una cadena válida desde un root reconocido hasta el hecho, sin revelar los pasos intermedios. El verificador comprueba una única prueba matemática pequeña, independientemente de la profundidad de la cadena. Una solución más inmediata sin ZK es que cada nodo publique una prueba de Merkle precomputada de su posición en la cadena, permitiendo verificación local sin consultas adicionales.</w:t>
      </w:r>
    </w:p>
    <w:p>
      <w:pPr>
        <w:spacing w:before="80" w:after="160"/>
        <w:jc w:val="both"/>
      </w:pPr>
      <w:r>
        <w:rPr>
          <w:i/>
          <w:iCs/>
          <w:color w:val="666666"/>
        </w:rPr>
        <w:t xml:space="preserve">Complejidad muy alta para ZK-SNARKs. La solución Merkle precomputada es más inmediata y puede desarrollarse en paralelo.</w:t>
      </w:r>
    </w:p>
    <w:p>
      <w:pPr>
        <w:pStyle w:val="Heading1"/>
        <w:spacing w:before="400" w:after="200"/>
      </w:pPr>
      <w:r>
        <w:t xml:space="preserve">P5 — Proof-of-Stake para réplicas observadoras</w:t>
      </w:r>
    </w:p>
    <w:p>
      <w:pPr>
        <w:spacing w:before="80" w:after="160"/>
        <w:jc w:val="both"/>
      </w:pPr>
      <w:r>
        <w:t xml:space="preserve">Problema: el modelo de réplicas observadoras mitiga el ataque Sybil mediante reputación institucional, pero sin coste económico la reputación puede no ser suficiente en entornos adversariales.</w:t>
      </w:r>
    </w:p>
    <w:p>
      <w:pPr>
        <w:spacing w:before="80" w:after="160"/>
        <w:jc w:val="both"/>
      </w:pPr>
      <w:r>
        <w:t xml:space="preserve">Propuesta: para actuar como réplica, un nodo deposita una fianza gestionada por múltiples roots. Si una réplica firma un estado falso en conflicto con la mayoría, su fianza es quemada (slashing) y su reputación disminuye. El peso del voto combina antigüedad, reputación y fianza. Un atacante necesitaría apostar capital suficiente para controlar el quórum, haciendo el ataque Sybil económicamente inviable.</w:t>
      </w:r>
    </w:p>
    <w:p>
      <w:pPr>
        <w:spacing w:before="80" w:after="160"/>
        <w:jc w:val="both"/>
      </w:pPr>
      <w:r>
        <w:rPr>
          <w:i/>
          <w:iCs/>
          <w:color w:val="666666"/>
        </w:rPr>
        <w:t xml:space="preserve">Introduce tokenización y posiblemente dependencia de blockchain, en tensión con el principio de diseño de Trusteando de no requerir blockchain. Investigación abierta.</w:t>
      </w:r>
    </w:p>
    <w:p>
      <w:pPr>
        <w:pStyle w:val="Heading1"/>
        <w:spacing w:before="400" w:after="200"/>
      </w:pPr>
      <w:r>
        <w:t xml:space="preserve">P6 — Contratos inteligentes como árbitros para disputas programables</w:t>
      </w:r>
    </w:p>
    <w:p>
      <w:pPr>
        <w:spacing w:before="80" w:after="160"/>
        <w:jc w:val="both"/>
      </w:pPr>
      <w:r>
        <w:t xml:space="preserve">Problema: la resolución de disputas depende de árbitros y marcos legales externos cuya integración no está definida. Para disputas puramente lógicas, el arbitraje humano introduce latencia y coste.</w:t>
      </w:r>
    </w:p>
    <w:p>
      <w:pPr>
        <w:spacing w:before="80" w:after="160"/>
        <w:jc w:val="both"/>
      </w:pPr>
      <w:r>
        <w:t xml:space="preserve">Propuesta: las partes de un acuerdo pueden incluir en el plan/ una cláusula de arbitraje automatizado. Si el hecho execution/hito-X/ está publicado y firmado por la parte correspondiente, un contrato inteligente ejecuta automáticamente la resolución — por ejemplo, liberar un pago retenido. Para disputas de mayor nivel, el resultado del arbitraje automatizado sirve como evidencia criptográfica que un tribunal puede aceptar como prueba pericial.</w:t>
      </w:r>
    </w:p>
    <w:p>
      <w:pPr>
        <w:spacing w:before="80" w:after="160"/>
        <w:jc w:val="both"/>
      </w:pPr>
      <w:r>
        <w:rPr>
          <w:i/>
          <w:iCs/>
          <w:color w:val="666666"/>
        </w:rPr>
        <w:t xml:space="preserve">Introduce dependencia de blockchain para ejecución de contratos. Aplica solo a disputas con reglas verificables algorítmicamente.</w:t>
      </w:r>
    </w:p>
    <w:p>
      <w:pPr>
        <w:pStyle w:val="Heading1"/>
        <w:spacing w:before="400" w:after="200"/>
      </w:pPr>
      <w:r>
        <w:t xml:space="preserve">P7 — Anclaje hash periódico en registros oficiales</w:t>
      </w:r>
    </w:p>
    <w:p>
      <w:pPr>
        <w:spacing w:before="80" w:after="160"/>
        <w:jc w:val="both"/>
      </w:pPr>
      <w:r>
        <w:t xml:space="preserve">Complemento a los ejemplos de suscripción mediante BOE y Federal Register (Apéndice F.5 y F.6 del whitepaper). Las entidades con rol crítico podrían publicar periódicamente el hash raíz de Merkle de su espacio trusteando/ en el registro oficial nacional. Esto crearía una cadena de anclajes jurídicamente respaldados que permitiría detectar alteraciones retroactivas incluso sin IPFS.</w:t>
      </w:r>
    </w:p>
    <w:p>
      <w:pPr>
        <w:spacing w:before="200" w:after="200"/>
        <w:jc w:val="both"/>
      </w:pPr>
      <w:r>
        <w:rPr>
          <w:b/>
          <w:bCs/>
        </w:rPr>
        <w:t xml:space="preserve">Nota sobre dependencias blockchain</w:t>
      </w:r>
      <w:r>
        <w:t xml:space="preserve">: las propuestas P5 y P6 introducen dependencias de blockchain o smart contracts. El protocolo Trusteando está diseñado explícitamente para no requerir blockchain. P5 y P6 son investigación abierta, no direcciones comprometidas.</w:t>
      </w:r>
    </w:p>
    <w:p>
      <w:pPr>
        <w:spacing w:before="400"/>
        <w:jc w:val="center"/>
      </w:pPr>
      <w:r>
        <w:rPr>
          <w:i/>
          <w:iCs/>
          <w:color w:val="666666"/>
          <w:sz w:val="18"/>
          <w:szCs w:val="18"/>
        </w:rPr>
        <w:t xml:space="preserve">confidencenode.org/protocolos/trusteando — companion document v0.1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2026-03-18T22:03:23.891Z</dcterms:created>
  <dcterms:modified xsi:type="dcterms:W3CDTF">2026-03-18T22:03:23.892Z</dcterms:modified>
</cp:coreProperties>
</file>

<file path=docProps/custom.xml><?xml version="1.0" encoding="utf-8"?>
<Properties xmlns="http://schemas.openxmlformats.org/officeDocument/2006/custom-properties" xmlns:vt="http://schemas.openxmlformats.org/officeDocument/2006/docPropsVTypes"/>
</file>