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80"/>
        <w:jc w:val="center"/>
      </w:pPr>
      <w:r>
        <w:rPr>
          <w:rFonts w:ascii="Arial" w:cs="Arial" w:eastAsia="Arial" w:hAnsi="Arial"/>
          <w:b/>
          <w:bCs/>
          <w:color w:val="1A1A2E"/>
          <w:sz w:val="72"/>
          <w:szCs w:val="72"/>
        </w:rPr>
        <w:t xml:space="preserve">TRUSTEANDO</w:t>
      </w:r>
    </w:p>
    <w:p>
      <w:pPr>
        <w:spacing w:before="0" w:after="60"/>
        <w:jc w:val="center"/>
      </w:pPr>
      <w:r>
        <w:rPr>
          <w:rFonts w:ascii="Arial" w:cs="Arial" w:eastAsia="Arial" w:hAnsi="Arial"/>
          <w:i/>
          <w:iCs/>
          <w:color w:val="2C3E7A"/>
          <w:sz w:val="34"/>
          <w:szCs w:val="34"/>
        </w:rPr>
        <w:t xml:space="preserve">A Decentralised Verifiable Knowledge Graph Protocol</w:t>
      </w:r>
    </w:p>
    <w:p>
      <w:pPr>
        <w:spacing w:before="0" w:after="60"/>
        <w:jc w:val="center"/>
      </w:pPr>
      <w:r>
        <w:rPr>
          <w:rFonts w:ascii="Arial" w:cs="Arial" w:eastAsia="Arial" w:hAnsi="Arial"/>
          <w:color w:val="2C3E7A"/>
          <w:sz w:val="22"/>
          <w:szCs w:val="22"/>
        </w:rPr>
        <w:t xml:space="preserve">confidencenode.org/protocolos/trusteando</w:t>
      </w:r>
    </w:p>
    <w:p>
      <w:pPr>
        <w:spacing w:before="0" w:after="60"/>
        <w:jc w:val="center"/>
      </w:pPr>
      <w:r>
        <w:rPr>
          <w:rFonts w:ascii="Arial" w:cs="Arial" w:eastAsia="Arial" w:hAnsi="Arial"/>
          <w:color w:val="555555"/>
          <w:sz w:val="22"/>
          <w:szCs w:val="22"/>
        </w:rPr>
        <w:t xml:space="preserve">Author: </w:t>
      </w:r>
      <w:r>
        <w:rPr>
          <w:rFonts w:ascii="Arial" w:cs="Arial" w:eastAsia="Arial" w:hAnsi="Arial"/>
          <w:color w:val="2C3E7A"/>
          <w:sz w:val="22"/>
          <w:szCs w:val="22"/>
        </w:rPr>
        <w:t xml:space="preserve">confidencenode.org/members/confidencenode0</w:t>
      </w:r>
    </w:p>
    <w:p>
      <w:pPr>
        <w:spacing w:before="0" w:after="500"/>
        <w:jc w:val="center"/>
      </w:pPr>
      <w:r>
        <w:rPr>
          <w:rFonts w:ascii="Arial" w:cs="Arial" w:eastAsia="Arial" w:hAnsi="Arial"/>
          <w:color w:val="888888"/>
          <w:sz w:val="22"/>
          <w:szCs w:val="22"/>
        </w:rPr>
        <w:t xml:space="preserve">March 18, 2026  —  v0.1</w:t>
      </w:r>
    </w:p>
    <w:p>
      <w:pPr>
        <w:pBdr>
          <w:top w:val="single" w:color="2C3E7A" w:sz="3" w:space="1"/>
        </w:pBdr>
        <w:spacing w:before="0" w:after="120"/>
        <w:jc w:val="center"/>
      </w:pPr>
    </w:p>
    <w:p>
      <w:pPr>
        <w:spacing w:before="120" w:after="80"/>
        <w:jc w:val="center"/>
      </w:pPr>
      <w:r>
        <w:rPr>
          <w:rFonts w:ascii="Arial" w:cs="Arial" w:eastAsia="Arial" w:hAnsi="Arial"/>
          <w:b/>
          <w:bCs/>
          <w:color w:val="1A1A2E"/>
          <w:sz w:val="24"/>
          <w:szCs w:val="24"/>
        </w:rPr>
        <w:t xml:space="preserve">Abstract</w:t>
      </w:r>
    </w:p>
    <w:p>
      <w:pPr>
        <w:spacing w:before="0" w:after="0"/>
        <w:ind w:left="800" w:right="800"/>
        <w:jc w:val="both"/>
      </w:pPr>
      <w:r>
        <w:rPr>
          <w:rFonts w:ascii="Arial" w:cs="Arial" w:eastAsia="Arial" w:hAnsi="Arial"/>
          <w:i/>
          <w:iCs/>
          <w:color w:val="333333"/>
          <w:sz w:val="21"/>
          <w:szCs w:val="21"/>
        </w:rPr>
        <w:t xml:space="preserve">Trusteando is an open protocol for a decentralised, cryptographically verifiable Knowledge Graph. Entities — universities, companies, professional bodies, individuals — are nodes identified by the hash of their public URL. Relations between nodes are expressed as folder structures published by each entity in its own web space. The folder structure is the credential: there is no credential information outside it. Authority is demonstrated by controlling the URL, not by declaring it. Any entity with a web presence can act as an identity issuer for the entities it recognises, using a chain of shared keys established via Diffie-Hellman key exchange, with authorship guaranteed by ECDSA signatures. The graph is dynamic: temporal dimension is encoded in desde/hasta folder conventions. Identity is portable across migrations via a dual emergency key mechanism — hash_migracion for voluntary migrations, hash_disputa for dispute resolution. Disputes follow an administrative appeal hierarchy, reaching the root only as a last resort. A root node bootstraps the system; over time, high-reputation nodes become independent trust anchors, making the system polycentric by design. Membership precedes recognition. Contextual trust suffices for most verification. Cryptographic verification handles the rest.</w:t>
      </w:r>
    </w:p>
    <w:p>
      <w:pPr>
        <w:pBdr>
          <w:bottom w:val="single" w:color="2C3E7A" w:sz="3" w:space="1"/>
        </w:pBdr>
        <w:spacing w:before="120" w:after="400"/>
        <w:jc w:val="center"/>
      </w:pPr>
    </w:p>
    <w:p>
      <w:pPr>
        <w:pStyle w:val="Heading1"/>
        <w:spacing w:before="480" w:after="200"/>
      </w:pPr>
      <w:r>
        <w:rPr>
          <w:rFonts w:ascii="Arial" w:cs="Arial" w:eastAsia="Arial" w:hAnsi="Arial"/>
          <w:b/>
          <w:bCs/>
          <w:color w:val="1A1A2E"/>
          <w:sz w:val="34"/>
          <w:szCs w:val="34"/>
        </w:rPr>
        <w:t xml:space="preserve">1. Introduction</w:t>
      </w:r>
    </w:p>
    <w:p>
      <w:pPr>
        <w:spacing w:before="80" w:after="160"/>
        <w:jc w:val="both"/>
      </w:pPr>
      <w:r>
        <w:rPr>
          <w:rFonts w:ascii="Arial" w:cs="Arial" w:eastAsia="Arial" w:hAnsi="Arial"/>
          <w:sz w:val="22"/>
          <w:szCs w:val="22"/>
        </w:rPr>
        <w:t xml:space="preserve">Existing digital identity systems share a structural flaw: they require identity to be granted by a central authority before it can exist. X.509 certificates depend on commercial Certificate Authorities. Federated identity systems such as OAuth delegate identity to private providers — Google, Apple, Microsoft — who can revoke it unilaterally. Existing Knowledge Graphs such as Wikidata or Google Knowledge Graph are centralised or require consensus from a central editor to write.</w:t>
      </w:r>
    </w:p>
    <w:p>
      <w:pPr>
        <w:spacing w:before="80" w:after="160"/>
        <w:jc w:val="both"/>
      </w:pPr>
      <w:r>
        <w:rPr>
          <w:rFonts w:ascii="Arial" w:cs="Arial" w:eastAsia="Arial" w:hAnsi="Arial"/>
          <w:sz w:val="22"/>
          <w:szCs w:val="22"/>
        </w:rPr>
        <w:t xml:space="preserve">Trusteado starts from a different observation: the identity of a real entity does not need to be granted — it already exists. A university exists. It has a URL. It has staff. It has real authority over that staff. The relations between entities — who belongs where, since when, in what role — also exist. What is missing is not a mechanism to create that identity but a protocol to express it as a verifiable, decentralised Knowledge Graph with temporal memory.</w:t>
      </w:r>
    </w:p>
    <w:p>
      <w:pPr>
        <w:spacing w:before="80" w:after="160"/>
        <w:jc w:val="both"/>
      </w:pPr>
      <w:r>
        <w:rPr>
          <w:rFonts w:ascii="Arial" w:cs="Arial" w:eastAsia="Arial" w:hAnsi="Arial"/>
          <w:sz w:val="22"/>
          <w:szCs w:val="22"/>
        </w:rPr>
        <w:t xml:space="preserve">Trusteando is that protocol. Graph nodes are entities identified by the hash of their public URL. Edges are relations expressed as folder structures published by each entity in its own web space. Each entity's cryptographic signature over its own space guarantees integrity. The chain of trust between levels enables verification without depending on any central server in everyday use.</w:t>
      </w:r>
    </w:p>
    <w:p>
      <w:pPr>
        <w:pStyle w:val="Heading1"/>
        <w:spacing w:before="480" w:after="200"/>
      </w:pPr>
      <w:r>
        <w:rPr>
          <w:rFonts w:ascii="Arial" w:cs="Arial" w:eastAsia="Arial" w:hAnsi="Arial"/>
          <w:b/>
          <w:bCs/>
          <w:color w:val="1A1A2E"/>
          <w:sz w:val="34"/>
          <w:szCs w:val="34"/>
        </w:rPr>
        <w:t xml:space="preserve">2. Design Principles</w:t>
      </w:r>
    </w:p>
    <w:p>
      <w:pPr>
        <w:pStyle w:val="Heading2"/>
        <w:spacing w:before="320" w:after="140"/>
      </w:pPr>
      <w:r>
        <w:rPr>
          <w:rFonts w:ascii="Arial" w:cs="Arial" w:eastAsia="Arial" w:hAnsi="Arial"/>
          <w:b/>
          <w:bCs/>
          <w:color w:val="2C3E7A"/>
          <w:sz w:val="26"/>
          <w:szCs w:val="26"/>
        </w:rPr>
        <w:t xml:space="preserve">2.1 The URL as identity anchor</w:t>
      </w:r>
    </w:p>
    <w:p>
      <w:pPr>
        <w:spacing w:before="80" w:after="160"/>
        <w:jc w:val="both"/>
      </w:pPr>
      <w:r>
        <w:rPr>
          <w:rFonts w:ascii="Arial" w:cs="Arial" w:eastAsia="Arial" w:hAnsi="Arial"/>
          <w:sz w:val="22"/>
          <w:szCs w:val="22"/>
        </w:rPr>
        <w:t xml:space="preserve">The identifier of any entity in the system is the cryptographic hash of its canonical URL: entity_id = SHA-256(canonical_url). The entity does not need to register in any prior system. Its URL already exists and is public. Two distinct entities have distinct URLs and therefore distinct identifiers.</w:t>
      </w:r>
    </w:p>
    <w:p>
      <w:pPr>
        <w:pStyle w:val="Heading2"/>
        <w:spacing w:before="320" w:after="140"/>
      </w:pPr>
      <w:r>
        <w:rPr>
          <w:rFonts w:ascii="Arial" w:cs="Arial" w:eastAsia="Arial" w:hAnsi="Arial"/>
          <w:b/>
          <w:bCs/>
          <w:color w:val="2C3E7A"/>
          <w:sz w:val="26"/>
          <w:szCs w:val="26"/>
        </w:rPr>
        <w:t xml:space="preserve">2.2 Membership precedes recognition</w:t>
      </w:r>
    </w:p>
    <w:p>
      <w:pPr>
        <w:spacing w:before="80" w:after="160"/>
        <w:jc w:val="both"/>
      </w:pPr>
      <w:r>
        <w:rPr>
          <w:rFonts w:ascii="Arial" w:cs="Arial" w:eastAsia="Arial" w:hAnsi="Arial"/>
          <w:sz w:val="22"/>
          <w:szCs w:val="22"/>
        </w:rPr>
        <w:t xml:space="preserve">If a university publishes the hash of a professor together with their public key on its own website, that professor already belongs to the university's identity space. The trust chain exists before the root node formally validates it. The root does not create the relation — it elevates it to cryptographically verifiable trust for unknown third parties.</w:t>
      </w:r>
    </w:p>
    <w:p>
      <w:pPr>
        <w:pStyle w:val="Heading2"/>
        <w:spacing w:before="320" w:after="140"/>
      </w:pPr>
      <w:r>
        <w:rPr>
          <w:rFonts w:ascii="Arial" w:cs="Arial" w:eastAsia="Arial" w:hAnsi="Arial"/>
          <w:b/>
          <w:bCs/>
          <w:color w:val="2C3E7A"/>
          <w:sz w:val="26"/>
          <w:szCs w:val="26"/>
        </w:rPr>
        <w:t xml:space="preserve">2.3 Contextual trust is sufficient for everyday use</w:t>
      </w:r>
    </w:p>
    <w:p>
      <w:pPr>
        <w:spacing w:before="80" w:after="160"/>
        <w:jc w:val="both"/>
      </w:pPr>
      <w:r>
        <w:rPr>
          <w:rFonts w:ascii="Arial" w:cs="Arial" w:eastAsia="Arial" w:hAnsi="Arial"/>
          <w:sz w:val="22"/>
          <w:szCs w:val="22"/>
        </w:rPr>
        <w:t xml:space="preserve">Seeing Juan Escobar's hash published at universidad.es/professors already conveys trust to any verifier who knows that university. Full cryptographic verification resolves cases where contextual trust does not reach: unknown entities, automated verification, or disputed authenticity.</w:t>
      </w:r>
    </w:p>
    <w:p>
      <w:pPr>
        <w:pStyle w:val="Heading2"/>
        <w:spacing w:before="320" w:after="140"/>
      </w:pPr>
      <w:r>
        <w:rPr>
          <w:rFonts w:ascii="Arial" w:cs="Arial" w:eastAsia="Arial" w:hAnsi="Arial"/>
          <w:b/>
          <w:bCs/>
          <w:color w:val="2C3E7A"/>
          <w:sz w:val="26"/>
          <w:szCs w:val="26"/>
        </w:rPr>
        <w:t xml:space="preserve">2.4 Authority is demonstrated by controlling the URL</w:t>
      </w:r>
    </w:p>
    <w:p>
      <w:pPr>
        <w:spacing w:before="80" w:after="160"/>
        <w:jc w:val="both"/>
      </w:pPr>
      <w:r>
        <w:rPr>
          <w:rFonts w:ascii="Arial" w:cs="Arial" w:eastAsia="Arial" w:hAnsi="Arial"/>
          <w:sz w:val="22"/>
          <w:szCs w:val="22"/>
        </w:rPr>
        <w:t xml:space="preserve">An entity's authority to issue credentials is not declared — it is demonstrated by controlling the URL under which it publishes. Nobody can publish under universidad.es/professors/ without controlling universidad.es. DNS and the web server are the proof of control, exactly as in HTTPS. The folder structure declares the authority.</w:t>
      </w:r>
    </w:p>
    <w:p>
      <w:pPr>
        <w:pStyle w:val="Heading2"/>
        <w:spacing w:before="320" w:after="140"/>
      </w:pPr>
      <w:r>
        <w:rPr>
          <w:rFonts w:ascii="Arial" w:cs="Arial" w:eastAsia="Arial" w:hAnsi="Arial"/>
          <w:b/>
          <w:bCs/>
          <w:color w:val="2C3E7A"/>
          <w:sz w:val="26"/>
          <w:szCs w:val="26"/>
        </w:rPr>
        <w:t xml:space="preserve">2.5 The golden rule — the folder structure is the credential</w:t>
      </w:r>
    </w:p>
    <w:p>
      <w:pPr>
        <w:spacing w:before="80" w:after="160"/>
        <w:jc w:val="both"/>
      </w:pPr>
      <w:r>
        <w:rPr>
          <w:rFonts w:ascii="Arial" w:cs="Arial" w:eastAsia="Arial" w:hAnsi="Arial"/>
          <w:sz w:val="22"/>
          <w:szCs w:val="22"/>
        </w:rPr>
        <w:t xml:space="preserve">All information that an entity is required to provide about credentials is stored in its public folder structure. There is no hidden database, no fields in separate documents, no stateful APIs that a verifier needs to query. A verifier can check any credential by following public URLs alone. If the information is not in the folder structure, it does not exist as a protocol credential.</w:t>
      </w:r>
    </w:p>
    <w:p>
      <w:pPr>
        <w:pStyle w:val="Heading2"/>
        <w:spacing w:before="320" w:after="140"/>
      </w:pPr>
      <w:r>
        <w:rPr>
          <w:rFonts w:ascii="Arial" w:cs="Arial" w:eastAsia="Arial" w:hAnsi="Arial"/>
          <w:b/>
          <w:bCs/>
          <w:color w:val="2C3E7A"/>
          <w:sz w:val="26"/>
          <w:szCs w:val="26"/>
        </w:rPr>
        <w:t xml:space="preserve">2.6 Trusteando as a decentralised Knowledge Graph</w:t>
      </w:r>
    </w:p>
    <w:p>
      <w:pPr>
        <w:spacing w:before="80" w:after="160"/>
        <w:jc w:val="both"/>
      </w:pPr>
      <w:r>
        <w:rPr>
          <w:rFonts w:ascii="Arial" w:cs="Arial" w:eastAsia="Arial" w:hAnsi="Arial"/>
          <w:sz w:val="22"/>
          <w:szCs w:val="22"/>
        </w:rPr>
        <w:t xml:space="preserve">The set of entities and relations expressed by the protocol forms a Knowledge Graph with three properties that existing systems do not combine: decentralised — each node writes in its own space without permission from any central editor; cryptographically verifiable — each edge is signed by its issuer; dynamic with full history — desde/hasta folders give the graph a temporal dimension with complete verifiable history.</w:t>
      </w:r>
    </w:p>
    <w:p>
      <w:pPr>
        <w:pStyle w:val="Heading2"/>
        <w:spacing w:before="320" w:after="140"/>
      </w:pPr>
      <w:r>
        <w:rPr>
          <w:rFonts w:ascii="Arial" w:cs="Arial" w:eastAsia="Arial" w:hAnsi="Arial"/>
          <w:b/>
          <w:bCs/>
          <w:color w:val="2C3E7A"/>
          <w:sz w:val="26"/>
          <w:szCs w:val="26"/>
        </w:rPr>
        <w:t xml:space="preserve">2.7 The externals/ folder</w:t>
      </w:r>
    </w:p>
    <w:p>
      <w:pPr>
        <w:spacing w:before="80" w:after="160"/>
        <w:jc w:val="both"/>
      </w:pPr>
      <w:r>
        <w:rPr>
          <w:rFonts w:ascii="Arial" w:cs="Arial" w:eastAsia="Arial" w:hAnsi="Arial"/>
          <w:sz w:val="22"/>
          <w:szCs w:val="22"/>
        </w:rPr>
        <w:t xml:space="preserve">The externals/ folder allows an entity to link from its own space to presences in external systems it does not control — GitHub, ORCID, LinkedIn, official registries. The externals/ folder name is protocol semantics: it explicitly declares that the entity does not have authority over the destination. Outside externals/, controlling the URL implies controlling the content. Inside externals/, the entity only guarantees the authenticity of the link.</w:t>
      </w:r>
    </w:p>
    <w:p>
      <w:pPr>
        <w:pStyle w:val="Heading2"/>
        <w:spacing w:before="320" w:after="140"/>
      </w:pPr>
      <w:r>
        <w:rPr>
          <w:rFonts w:ascii="Arial" w:cs="Arial" w:eastAsia="Arial" w:hAnsi="Arial"/>
          <w:b/>
          <w:bCs/>
          <w:color w:val="2C3E7A"/>
          <w:sz w:val="26"/>
          <w:szCs w:val="26"/>
        </w:rPr>
        <w:t xml:space="preserve">2.8 The protocol is open and irrevocably public</w:t>
      </w:r>
    </w:p>
    <w:p>
      <w:pPr>
        <w:spacing w:before="80" w:after="160"/>
        <w:jc w:val="both"/>
      </w:pPr>
      <w:r>
        <w:rPr>
          <w:rFonts w:ascii="Arial" w:cs="Arial" w:eastAsia="Arial" w:hAnsi="Arial"/>
          <w:sz w:val="22"/>
          <w:szCs w:val="22"/>
        </w:rPr>
        <w:t xml:space="preserve">The protocol format, the ability to run own nodes, and manual verification by querying URLs directly are free and remain so. No entity — including the Trusteado root — can prevent anyone from implementing the protocol, verifying credentials, or publishing their own identity space.</w:t>
      </w:r>
    </w:p>
    <w:p>
      <w:pPr>
        <w:pStyle w:val="Heading1"/>
        <w:spacing w:before="480" w:after="200"/>
      </w:pPr>
      <w:r>
        <w:rPr>
          <w:rFonts w:ascii="Arial" w:cs="Arial" w:eastAsia="Arial" w:hAnsi="Arial"/>
          <w:b/>
          <w:bCs/>
          <w:color w:val="1A1A2E"/>
          <w:sz w:val="34"/>
          <w:szCs w:val="34"/>
        </w:rPr>
        <w:t xml:space="preserve">3. Credential Structure</w:t>
      </w:r>
    </w:p>
    <w:p>
      <w:pPr>
        <w:spacing w:before="80" w:after="160"/>
        <w:jc w:val="both"/>
      </w:pPr>
      <w:r>
        <w:rPr>
          <w:rFonts w:ascii="Arial" w:cs="Arial" w:eastAsia="Arial" w:hAnsi="Arial"/>
          <w:sz w:val="22"/>
          <w:szCs w:val="22"/>
        </w:rPr>
        <w:t xml:space="preserve">A credential in Trusteado is the presence of a node in a folder of its superior's identity space. The folder structure is the credential. For example:</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universidad.es/professors/juan-escobar          ← Juan is a Professor</w:t>
      </w:r>
    </w:p>
    <w:p>
      <w:pPr>
        <w:shd w:fill="F0F4F8" w:val="clear"/>
        <w:spacing w:before="0" w:after="0"/>
        <w:ind w:left="600" w:right="400"/>
      </w:pPr>
      <w:r>
        <w:rPr>
          <w:rFonts w:ascii="Courier New" w:cs="Courier New" w:eastAsia="Courier New" w:hAnsi="Courier New"/>
          <w:color w:val="1A3A5C"/>
          <w:sz w:val="19"/>
          <w:szCs w:val="19"/>
        </w:rPr>
        <w:t xml:space="preserve">universidad.es/doctors/juan-escobar             ← Juan holds a PhD</w:t>
      </w:r>
    </w:p>
    <w:p>
      <w:pPr>
        <w:shd w:fill="F0F4F8" w:val="clear"/>
        <w:spacing w:before="0" w:after="0"/>
        <w:ind w:left="600" w:right="400"/>
      </w:pPr>
      <w:r>
        <w:rPr>
          <w:rFonts w:ascii="Courier New" w:cs="Courier New" w:eastAsia="Courier New" w:hAnsi="Courier New"/>
          <w:color w:val="1A3A5C"/>
          <w:sz w:val="19"/>
          <w:szCs w:val="19"/>
        </w:rPr>
        <w:t xml:space="preserve">universidad.es/professors/desde/2021-09-01/juan-escobar   ← start date</w:t>
      </w:r>
    </w:p>
    <w:p>
      <w:pPr>
        <w:shd w:fill="F0F4F8" w:val="clear"/>
        <w:spacing w:before="0" w:after="0"/>
        <w:ind w:left="600" w:right="400"/>
      </w:pPr>
      <w:r>
        <w:rPr>
          <w:rFonts w:ascii="Courier New" w:cs="Courier New" w:eastAsia="Courier New" w:hAnsi="Courier New"/>
          <w:color w:val="1A3A5C"/>
          <w:sz w:val="19"/>
          <w:szCs w:val="19"/>
        </w:rPr>
        <w:t xml:space="preserve">universidad.es/professors/hasta/2024-06-30/juan-escobar   ← end date</w:t>
      </w:r>
    </w:p>
    <w:p>
      <w:pPr>
        <w:shd w:fill="F0F4F8" w:val="clear"/>
        <w:spacing w:before="0" w:after="120"/>
        <w:ind w:left="400" w:right="400"/>
      </w:pPr>
    </w:p>
    <w:p>
      <w:pPr>
        <w:spacing w:before="80" w:after="160"/>
        <w:jc w:val="both"/>
      </w:pPr>
      <w:r>
        <w:rPr>
          <w:rFonts w:ascii="Arial" w:cs="Arial" w:eastAsia="Arial" w:hAnsi="Arial"/>
          <w:sz w:val="22"/>
          <w:szCs w:val="22"/>
        </w:rPr>
        <w:t xml:space="preserve">Revoking a specific credential is simply removing the node from the corresponding folder, without affecting others. Temporal validity is encoded in the folder structure itself — under the superior's control, not the node's.</w:t>
      </w:r>
    </w:p>
    <w:p>
      <w:pPr>
        <w:spacing w:before="80" w:after="160"/>
        <w:jc w:val="both"/>
      </w:pPr>
      <w:r>
        <w:rPr>
          <w:rFonts w:ascii="Arial" w:cs="Arial" w:eastAsia="Arial" w:hAnsi="Arial"/>
          <w:sz w:val="22"/>
          <w:szCs w:val="22"/>
        </w:rPr>
        <w:t xml:space="preserve">Credentials may additionally include a signed metadata block:</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w:t>
      </w:r>
    </w:p>
    <w:p>
      <w:pPr>
        <w:shd w:fill="F0F4F8" w:val="clear"/>
        <w:spacing w:before="0" w:after="0"/>
        <w:ind w:left="600" w:right="400"/>
      </w:pPr>
      <w:r>
        <w:rPr>
          <w:rFonts w:ascii="Courier New" w:cs="Courier New" w:eastAsia="Courier New" w:hAnsi="Courier New"/>
          <w:color w:val="1A3A5C"/>
          <w:sz w:val="19"/>
          <w:szCs w:val="19"/>
        </w:rPr>
        <w:t xml:space="preserve">  "issuer":         "SHA-256(issuer_url)",</w:t>
      </w:r>
    </w:p>
    <w:p>
      <w:pPr>
        <w:shd w:fill="F0F4F8" w:val="clear"/>
        <w:spacing w:before="0" w:after="0"/>
        <w:ind w:left="600" w:right="400"/>
      </w:pPr>
      <w:r>
        <w:rPr>
          <w:rFonts w:ascii="Courier New" w:cs="Courier New" w:eastAsia="Courier New" w:hAnsi="Courier New"/>
          <w:color w:val="1A3A5C"/>
          <w:sz w:val="19"/>
          <w:szCs w:val="19"/>
        </w:rPr>
        <w:t xml:space="preserve">  "subject":        "SHA-256(subject_url)",</w:t>
      </w:r>
    </w:p>
    <w:p>
      <w:pPr>
        <w:shd w:fill="F0F4F8" w:val="clear"/>
        <w:spacing w:before="0" w:after="0"/>
        <w:ind w:left="600" w:right="400"/>
      </w:pPr>
      <w:r>
        <w:rPr>
          <w:rFonts w:ascii="Courier New" w:cs="Courier New" w:eastAsia="Courier New" w:hAnsi="Courier New"/>
          <w:color w:val="1A3A5C"/>
          <w:sz w:val="19"/>
          <w:szCs w:val="19"/>
        </w:rPr>
        <w:t xml:space="preserve">  "public_key":     "base64(issuer_public_key)",</w:t>
      </w:r>
    </w:p>
    <w:p>
      <w:pPr>
        <w:shd w:fill="F0F4F8" w:val="clear"/>
        <w:spacing w:before="0" w:after="0"/>
        <w:ind w:left="600" w:right="400"/>
      </w:pPr>
      <w:r>
        <w:rPr>
          <w:rFonts w:ascii="Courier New" w:cs="Courier New" w:eastAsia="Courier New" w:hAnsi="Courier New"/>
          <w:color w:val="1A3A5C"/>
          <w:sz w:val="19"/>
          <w:szCs w:val="19"/>
        </w:rPr>
        <w:t xml:space="preserve">  "msg_hash":       "SHA-256(credential_content)",</w:t>
      </w:r>
    </w:p>
    <w:p>
      <w:pPr>
        <w:shd w:fill="F0F4F8" w:val="clear"/>
        <w:spacing w:before="0" w:after="0"/>
        <w:ind w:left="600" w:right="400"/>
      </w:pPr>
      <w:r>
        <w:rPr>
          <w:rFonts w:ascii="Courier New" w:cs="Courier New" w:eastAsia="Courier New" w:hAnsi="Courier New"/>
          <w:color w:val="1A3A5C"/>
          <w:sz w:val="19"/>
          <w:szCs w:val="19"/>
        </w:rPr>
        <w:t xml:space="preserve">  "hmac":           "HMAC-SHA-256(msg_hash, shared_key)",</w:t>
      </w:r>
    </w:p>
    <w:p>
      <w:pPr>
        <w:shd w:fill="F0F4F8" w:val="clear"/>
        <w:spacing w:before="0" w:after="0"/>
        <w:ind w:left="600" w:right="400"/>
      </w:pPr>
      <w:r>
        <w:rPr>
          <w:rFonts w:ascii="Courier New" w:cs="Courier New" w:eastAsia="Courier New" w:hAnsi="Courier New"/>
          <w:color w:val="1A3A5C"/>
          <w:sz w:val="19"/>
          <w:szCs w:val="19"/>
        </w:rPr>
        <w:t xml:space="preserve">  "auth_signature": "ECDSA.sign(msg_hash, issuer_private_key)",</w:t>
      </w:r>
    </w:p>
    <w:p>
      <w:pPr>
        <w:shd w:fill="F0F4F8" w:val="clear"/>
        <w:spacing w:before="0" w:after="0"/>
        <w:ind w:left="600" w:right="400"/>
      </w:pPr>
      <w:r>
        <w:rPr>
          <w:rFonts w:ascii="Courier New" w:cs="Courier New" w:eastAsia="Courier New" w:hAnsi="Courier New"/>
          <w:color w:val="1A3A5C"/>
          <w:sz w:val="19"/>
          <w:szCs w:val="19"/>
        </w:rPr>
        <w:t xml:space="preserve">  "timestamp":      1710000000</w:t>
      </w:r>
    </w:p>
    <w:p>
      <w:pPr>
        <w:shd w:fill="F0F4F8" w:val="clear"/>
        <w:spacing w:before="0" w:after="0"/>
        <w:ind w:left="600" w:right="400"/>
      </w:pPr>
      <w:r>
        <w:rPr>
          <w:rFonts w:ascii="Courier New" w:cs="Courier New" w:eastAsia="Courier New" w:hAnsi="Courier New"/>
          <w:color w:val="1A3A5C"/>
          <w:sz w:val="19"/>
          <w:szCs w:val="19"/>
        </w:rPr>
        <w:t xml:space="preserve">}</w:t>
      </w:r>
    </w:p>
    <w:p>
      <w:pPr>
        <w:shd w:fill="F0F4F8" w:val="clear"/>
        <w:spacing w:before="0" w:after="120"/>
        <w:ind w:left="400" w:right="400"/>
      </w:pPr>
    </w:p>
    <w:p>
      <w:pPr>
        <w:pStyle w:val="Heading1"/>
        <w:spacing w:before="480" w:after="200"/>
      </w:pPr>
      <w:r>
        <w:rPr>
          <w:rFonts w:ascii="Arial" w:cs="Arial" w:eastAsia="Arial" w:hAnsi="Arial"/>
          <w:b/>
          <w:bCs/>
          <w:color w:val="1A1A2E"/>
          <w:sz w:val="34"/>
          <w:szCs w:val="34"/>
        </w:rPr>
        <w:t xml:space="preserve">4. The Chain of Trust</w:t>
      </w:r>
    </w:p>
    <w:p>
      <w:pPr>
        <w:pStyle w:val="Heading2"/>
        <w:spacing w:before="320" w:after="140"/>
      </w:pPr>
      <w:r>
        <w:rPr>
          <w:rFonts w:ascii="Arial" w:cs="Arial" w:eastAsia="Arial" w:hAnsi="Arial"/>
          <w:b/>
          <w:bCs/>
          <w:color w:val="2C3E7A"/>
          <w:sz w:val="26"/>
          <w:szCs w:val="26"/>
        </w:rPr>
        <w:t xml:space="preserve">4.1 General structure</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Trusteado root</w:t>
      </w:r>
    </w:p>
    <w:p>
      <w:pPr>
        <w:shd w:fill="F0F4F8" w:val="clear"/>
        <w:spacing w:before="0" w:after="0"/>
        <w:ind w:left="600" w:right="400"/>
      </w:pPr>
      <w:r>
        <w:rPr>
          <w:rFonts w:ascii="Courier New" w:cs="Courier New" w:eastAsia="Courier New" w:hAnsi="Courier New"/>
          <w:color w:val="1A3A5C"/>
          <w:sz w:val="19"/>
          <w:szCs w:val="19"/>
        </w:rPr>
        <w:t xml:space="preserve">  └─ recognises universidad.es</w:t>
      </w:r>
    </w:p>
    <w:p>
      <w:pPr>
        <w:shd w:fill="F0F4F8" w:val="clear"/>
        <w:spacing w:before="0" w:after="0"/>
        <w:ind w:left="600" w:right="400"/>
      </w:pPr>
      <w:r>
        <w:rPr>
          <w:rFonts w:ascii="Courier New" w:cs="Courier New" w:eastAsia="Courier New" w:hAnsi="Courier New"/>
          <w:color w:val="1A3A5C"/>
          <w:sz w:val="19"/>
          <w:szCs w:val="19"/>
        </w:rPr>
        <w:t xml:space="preserve">       └─ recognises juan@universidad.es (Associate Professor)</w:t>
      </w:r>
    </w:p>
    <w:p>
      <w:pPr>
        <w:shd w:fill="F0F4F8" w:val="clear"/>
        <w:spacing w:before="0" w:after="0"/>
        <w:ind w:left="600" w:right="400"/>
      </w:pPr>
      <w:r>
        <w:rPr>
          <w:rFonts w:ascii="Courier New" w:cs="Courier New" w:eastAsia="Courier New" w:hAnsi="Courier New"/>
          <w:color w:val="1A3A5C"/>
          <w:sz w:val="19"/>
          <w:szCs w:val="19"/>
        </w:rPr>
        <w:t xml:space="preserve">            └─ juan signs verifiable credentials</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4.2 Shared key establishment via ECDH</w:t>
      </w:r>
    </w:p>
    <w:p>
      <w:pPr>
        <w:spacing w:before="80" w:after="160"/>
        <w:jc w:val="both"/>
      </w:pPr>
      <w:r>
        <w:rPr>
          <w:rFonts w:ascii="Arial" w:cs="Arial" w:eastAsia="Arial" w:hAnsi="Arial"/>
          <w:sz w:val="22"/>
          <w:szCs w:val="22"/>
        </w:rPr>
        <w:t xml:space="preserve">Each pair of adjacent levels shares a symmetric key established via Elliptic Curve Diffie-Hellman (ECDH) — the same mechanism used by TLS in every HTTPS connection. The establishment occurs once per pair. Neither party knows the other's private key. The superior cannot impersonate the inferior because it never had access to its private key.</w:t>
      </w:r>
    </w:p>
    <w:p>
      <w:pPr>
        <w:pStyle w:val="Heading2"/>
        <w:spacing w:before="320" w:after="140"/>
      </w:pPr>
      <w:r>
        <w:rPr>
          <w:rFonts w:ascii="Arial" w:cs="Arial" w:eastAsia="Arial" w:hAnsi="Arial"/>
          <w:b/>
          <w:bCs/>
          <w:color w:val="2C3E7A"/>
          <w:sz w:val="26"/>
          <w:szCs w:val="26"/>
        </w:rPr>
        <w:t xml:space="preserve">4.3 Separation of authenticity and authorship</w:t>
      </w:r>
    </w:p>
    <w:p>
      <w:pPr>
        <w:spacing w:before="80" w:after="160"/>
        <w:jc w:val="both"/>
      </w:pPr>
      <w:r>
        <w:rPr>
          <w:rFonts w:ascii="Arial" w:cs="Arial" w:eastAsia="Arial" w:hAnsi="Arial"/>
          <w:sz w:val="22"/>
          <w:szCs w:val="22"/>
        </w:rPr>
        <w:t xml:space="preserve">Two properties are independently verifiable. Authenticity: the HMAC is verified by the superior level — it confirms the credential comes from someone the superior recognises. Authorship: the ECDSA auth_signature is verified by any third party with the issuer's public key — it confirms it was specifically this person and not another. Even a compromised superior cannot fabricate credentials attributable to its inferior nodes.</w:t>
      </w:r>
    </w:p>
    <w:p>
      <w:pPr>
        <w:pStyle w:val="Heading2"/>
        <w:spacing w:before="320" w:after="140"/>
      </w:pPr>
      <w:r>
        <w:rPr>
          <w:rFonts w:ascii="Arial" w:cs="Arial" w:eastAsia="Arial" w:hAnsi="Arial"/>
          <w:b/>
          <w:bCs/>
          <w:color w:val="2C3E7A"/>
          <w:sz w:val="26"/>
          <w:szCs w:val="26"/>
        </w:rPr>
        <w:t xml:space="preserve">4.4 Non-repudiation and dispute resolution</w:t>
      </w:r>
    </w:p>
    <w:p>
      <w:pPr>
        <w:spacing w:before="80" w:after="160"/>
        <w:jc w:val="both"/>
      </w:pPr>
      <w:r>
        <w:rPr>
          <w:rFonts w:ascii="Arial" w:cs="Arial" w:eastAsia="Arial" w:hAnsi="Arial"/>
          <w:sz w:val="22"/>
          <w:szCs w:val="22"/>
        </w:rPr>
        <w:t xml:space="preserve">At registration, the node subscribes a responsibility commitment before the root: it accepts that the registered private key is its own and assumes responsibility for credentials signed with it. The root holds this commitment. In a dispute where neither party wishes to assume authorship, the root presents the commitment signed at registration — the cryptographic evidence links it to the disputed credential. The protocol establishes the evidence; the legal framework gives it binding force, as under the EU eIDAS regulation.</w:t>
      </w:r>
    </w:p>
    <w:p>
      <w:pPr>
        <w:pStyle w:val="Heading2"/>
        <w:spacing w:before="320" w:after="140"/>
      </w:pPr>
      <w:r>
        <w:rPr>
          <w:rFonts w:ascii="Arial" w:cs="Arial" w:eastAsia="Arial" w:hAnsi="Arial"/>
          <w:b/>
          <w:bCs/>
          <w:color w:val="2C3E7A"/>
          <w:sz w:val="26"/>
          <w:szCs w:val="26"/>
        </w:rPr>
        <w:t xml:space="preserve">4.5 Identity resilience — the dual emergency key</w:t>
      </w:r>
    </w:p>
    <w:p>
      <w:pPr>
        <w:spacing w:before="80" w:after="160"/>
        <w:jc w:val="both"/>
      </w:pPr>
      <w:r>
        <w:rPr>
          <w:rFonts w:ascii="Arial" w:cs="Arial" w:eastAsia="Arial" w:hAnsi="Arial"/>
          <w:sz w:val="22"/>
          <w:szCs w:val="22"/>
        </w:rPr>
        <w:t xml:space="preserve">Each node generates two emergency keys at creation:</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hash_migracion = hash(entity_id, emergency_key_1)</w:t>
      </w:r>
    </w:p>
    <w:p>
      <w:pPr>
        <w:shd w:fill="F0F4F8" w:val="clear"/>
        <w:spacing w:before="0" w:after="0"/>
        <w:ind w:left="600" w:right="400"/>
      </w:pPr>
      <w:r>
        <w:rPr>
          <w:rFonts w:ascii="Courier New" w:cs="Courier New" w:eastAsia="Courier New" w:hAnsi="Courier New"/>
          <w:color w:val="1A3A5C"/>
          <w:sz w:val="19"/>
          <w:szCs w:val="19"/>
        </w:rPr>
        <w:t xml:space="preserve">  → used for voluntary migration to a new superior</w:t>
      </w:r>
    </w:p>
    <w:p>
      <w:pPr>
        <w:shd w:fill="F0F4F8" w:val="clear"/>
        <w:spacing w:before="0" w:after="0"/>
        <w:ind w:left="600" w:right="400"/>
      </w:pPr>
      <w:r>
        <w:rPr>
          <w:rFonts w:ascii="Courier New" w:cs="Courier New" w:eastAsia="Courier New" w:hAnsi="Courier New"/>
          <w:color w:val="1A3A5C"/>
          <w:sz w:val="19"/>
          <w:szCs w:val="19"/>
        </w:rPr>
        <w:t xml:space="preserve">  → renewed after each completed migration</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hash_disputa   = hash(entity_id, emergency_key_2)</w:t>
      </w:r>
    </w:p>
    <w:p>
      <w:pPr>
        <w:shd w:fill="F0F4F8" w:val="clear"/>
        <w:spacing w:before="0" w:after="0"/>
        <w:ind w:left="600" w:right="400"/>
      </w:pPr>
      <w:r>
        <w:rPr>
          <w:rFonts w:ascii="Courier New" w:cs="Courier New" w:eastAsia="Courier New" w:hAnsi="Courier New"/>
          <w:color w:val="1A3A5C"/>
          <w:sz w:val="19"/>
          <w:szCs w:val="19"/>
        </w:rPr>
        <w:t xml:space="preserve">  → used for dispute resolution</w:t>
      </w:r>
    </w:p>
    <w:p>
      <w:pPr>
        <w:shd w:fill="F0F4F8" w:val="clear"/>
        <w:spacing w:before="0" w:after="0"/>
        <w:ind w:left="600" w:right="400"/>
      </w:pPr>
      <w:r>
        <w:rPr>
          <w:rFonts w:ascii="Courier New" w:cs="Courier New" w:eastAsia="Courier New" w:hAnsi="Courier New"/>
          <w:color w:val="1A3A5C"/>
          <w:sz w:val="19"/>
          <w:szCs w:val="19"/>
        </w:rPr>
        <w:t xml:space="preserve">  → never revealed in normal migrations</w:t>
      </w:r>
    </w:p>
    <w:p>
      <w:pPr>
        <w:shd w:fill="F0F4F8" w:val="clear"/>
        <w:spacing w:before="0" w:after="0"/>
        <w:ind w:left="600" w:right="400"/>
      </w:pPr>
      <w:r>
        <w:rPr>
          <w:rFonts w:ascii="Courier New" w:cs="Courier New" w:eastAsia="Courier New" w:hAnsi="Courier New"/>
          <w:color w:val="1A3A5C"/>
          <w:sz w:val="19"/>
          <w:szCs w:val="19"/>
        </w:rPr>
        <w:t xml:space="preserve">  → more stable than hash_migracion</w:t>
      </w:r>
    </w:p>
    <w:p>
      <w:pPr>
        <w:shd w:fill="F0F4F8" w:val="clear"/>
        <w:spacing w:before="0" w:after="120"/>
        <w:ind w:left="400" w:right="400"/>
      </w:pPr>
    </w:p>
    <w:p>
      <w:pPr>
        <w:spacing w:before="80" w:after="160"/>
        <w:jc w:val="both"/>
      </w:pPr>
      <w:r>
        <w:rPr>
          <w:rFonts w:ascii="Arial" w:cs="Arial" w:eastAsia="Arial" w:hAnsi="Arial"/>
          <w:sz w:val="22"/>
          <w:szCs w:val="22"/>
        </w:rPr>
        <w:t xml:space="preserve">Both hashes are published in the node's own trusteado_identity/ folder. During a migration, the node reveals emergency_key_1 to the new superior, who presents it to the root for approval. The node retains emergency_key_2 intact throughout — if the new superior acts in bad faith, the node can use it to challenge the migration before the root. Once migration is complete, a new emergency_key_1 is generated and the old one is invalidated.</w:t>
      </w:r>
    </w:p>
    <w:p>
      <w:pPr>
        <w:pStyle w:val="Heading2"/>
        <w:spacing w:before="320" w:after="140"/>
      </w:pPr>
      <w:r>
        <w:rPr>
          <w:rFonts w:ascii="Arial" w:cs="Arial" w:eastAsia="Arial" w:hAnsi="Arial"/>
          <w:b/>
          <w:bCs/>
          <w:color w:val="2C3E7A"/>
          <w:sz w:val="26"/>
          <w:szCs w:val="26"/>
        </w:rPr>
        <w:t xml:space="preserve">4.6 Migration and the old_identities/ table</w:t>
      </w:r>
    </w:p>
    <w:p>
      <w:pPr>
        <w:spacing w:before="80" w:after="160"/>
        <w:jc w:val="both"/>
      </w:pPr>
      <w:r>
        <w:rPr>
          <w:rFonts w:ascii="Arial" w:cs="Arial" w:eastAsia="Arial" w:hAnsi="Arial"/>
          <w:sz w:val="22"/>
          <w:szCs w:val="22"/>
        </w:rPr>
        <w:t xml:space="preserve">When a node migrates to a new superior, the receiving superior publishes in its own trusteado_registry/old_identities/ table — outside the migrating node's control — the complete chain of prior identities: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universidad-b.es/trusteado_registry/old_identities/</w:t>
      </w:r>
    </w:p>
    <w:p>
      <w:pPr>
        <w:shd w:fill="F0F4F8" w:val="clear"/>
        <w:spacing w:before="0" w:after="0"/>
        <w:ind w:left="600" w:right="400"/>
      </w:pPr>
      <w:r>
        <w:rPr>
          <w:rFonts w:ascii="Courier New" w:cs="Courier New" w:eastAsia="Courier New" w:hAnsi="Courier New"/>
          <w:color w:val="1A3A5C"/>
          <w:sz w:val="19"/>
          <w:szCs w:val="19"/>
        </w:rPr>
        <w:t xml:space="preserve">  hash_nuevo → [ hash_nuevo, hash_antiguo_1, hash_antiguo_2, ... ]</w:t>
      </w:r>
    </w:p>
    <w:p>
      <w:pPr>
        <w:shd w:fill="F0F4F8" w:val="clear"/>
        <w:spacing w:before="0" w:after="120"/>
        <w:ind w:left="400" w:right="400"/>
      </w:pPr>
    </w:p>
    <w:p>
      <w:pPr>
        <w:spacing w:before="80" w:after="160"/>
        <w:jc w:val="both"/>
      </w:pPr>
      <w:r>
        <w:rPr>
          <w:rFonts w:ascii="Arial" w:cs="Arial" w:eastAsia="Arial" w:hAnsi="Arial"/>
          <w:sz w:val="22"/>
          <w:szCs w:val="22"/>
        </w:rPr>
        <w:t xml:space="preserve">The full chain — not just the immediate prior link — is published and signed by the receiving superior. Any agent can verify a node's complete identity history with a single query, without jumping from server to server. The chain is a signed institutional record, not a self-declaration by the migrating node.</w:t>
      </w:r>
    </w:p>
    <w:p>
      <w:pPr>
        <w:pStyle w:val="Heading2"/>
        <w:spacing w:before="320" w:after="140"/>
      </w:pPr>
      <w:r>
        <w:rPr>
          <w:rFonts w:ascii="Arial" w:cs="Arial" w:eastAsia="Arial" w:hAnsi="Arial"/>
          <w:b/>
          <w:bCs/>
          <w:color w:val="2C3E7A"/>
          <w:sz w:val="26"/>
          <w:szCs w:val="26"/>
        </w:rPr>
        <w:t xml:space="preserve">4.7 The root node</w:t>
      </w:r>
    </w:p>
    <w:p>
      <w:pPr>
        <w:spacing w:before="80" w:after="160"/>
        <w:jc w:val="both"/>
      </w:pPr>
      <w:r>
        <w:rPr>
          <w:rFonts w:ascii="Arial" w:cs="Arial" w:eastAsia="Arial" w:hAnsi="Arial"/>
          <w:sz w:val="22"/>
          <w:szCs w:val="22"/>
        </w:rPr>
        <w:t xml:space="preserve">The root has three responsibilities: establish the shared key with each agent once via ECDH; maintain a public signed registry of recognised agents with TTL for local caching; and hold responsibility commitments and approve migrations when presented with valid evidence. The root holds no privileged state — it only executes a public algorithm. If unavailable, any sufficiently reputable node can perform its verification functions.</w:t>
      </w:r>
    </w:p>
    <w:p>
      <w:pPr>
        <w:pStyle w:val="Heading2"/>
        <w:spacing w:before="320" w:after="140"/>
      </w:pPr>
      <w:r>
        <w:rPr>
          <w:rFonts w:ascii="Arial" w:cs="Arial" w:eastAsia="Arial" w:hAnsi="Arial"/>
          <w:b/>
          <w:bCs/>
          <w:color w:val="2C3E7A"/>
          <w:sz w:val="26"/>
          <w:szCs w:val="26"/>
        </w:rPr>
        <w:t xml:space="preserve">4.8 Distributed trust anchors</w:t>
      </w:r>
    </w:p>
    <w:p>
      <w:pPr>
        <w:spacing w:before="80" w:after="160"/>
        <w:jc w:val="both"/>
      </w:pPr>
      <w:r>
        <w:rPr>
          <w:rFonts w:ascii="Arial" w:cs="Arial" w:eastAsia="Arial" w:hAnsi="Arial"/>
          <w:sz w:val="22"/>
          <w:szCs w:val="22"/>
        </w:rPr>
        <w:t xml:space="preserve">Over time, entities with sufficient public standing become natural trust anchors. A verifier that knows and trusts a university can verify its professors' credentials without consulting the Trusteado root. The system evolves from hierarchical to polycentric organically. The root has done its job well when it is no longer needed for everyday use.</w:t>
      </w:r>
    </w:p>
    <w:p>
      <w:pPr>
        <w:pStyle w:val="Heading1"/>
        <w:spacing w:before="480" w:after="200"/>
      </w:pPr>
      <w:r>
        <w:rPr>
          <w:rFonts w:ascii="Arial" w:cs="Arial" w:eastAsia="Arial" w:hAnsi="Arial"/>
          <w:b/>
          <w:bCs/>
          <w:color w:val="1A1A2E"/>
          <w:sz w:val="34"/>
          <w:szCs w:val="34"/>
        </w:rPr>
        <w:t xml:space="preserve">5. Two Levels of Existence</w:t>
      </w:r>
    </w:p>
    <w:p>
      <w:pPr>
        <w:spacing w:before="80" w:after="160"/>
        <w:jc w:val="both"/>
      </w:pPr>
      <w:r>
        <w:rPr>
          <w:rFonts w:ascii="Arial" w:cs="Arial" w:eastAsia="Arial" w:hAnsi="Arial"/>
          <w:sz w:val="22"/>
          <w:szCs w:val="22"/>
        </w:rPr>
        <w:t xml:space="preserve">A node may operate at two distinct levels. Declared identity: the entity publishes its hashes and keys on its own URL. The chain is coherent and verifiable by anyone who knows the entity. Useful for internal systems or before requesting formal recognition. Recognised identity: the root has established a shared key with the entity and published its agent certificate. The chain is verifiable by any unknown third party. Trust is transitive downwards.</w:t>
      </w:r>
    </w:p>
    <w:p>
      <w:pPr>
        <w:pStyle w:val="Heading1"/>
        <w:spacing w:before="480" w:after="200"/>
      </w:pPr>
      <w:r>
        <w:rPr>
          <w:rFonts w:ascii="Arial" w:cs="Arial" w:eastAsia="Arial" w:hAnsi="Arial"/>
          <w:b/>
          <w:bCs/>
          <w:color w:val="1A1A2E"/>
          <w:sz w:val="34"/>
          <w:szCs w:val="34"/>
        </w:rPr>
        <w:t xml:space="preserve">6. Privacy and Selective Disclosure</w:t>
      </w:r>
    </w:p>
    <w:p>
      <w:pPr>
        <w:spacing w:before="80" w:after="160"/>
        <w:jc w:val="both"/>
      </w:pPr>
      <w:r>
        <w:rPr>
          <w:rFonts w:ascii="Arial" w:cs="Arial" w:eastAsia="Arial" w:hAnsi="Arial"/>
          <w:sz w:val="22"/>
          <w:szCs w:val="22"/>
        </w:rPr>
        <w:t xml:space="preserve">The verifier sees only the verification result — valid or not. The full trust chain remains hidden unless the credential holder explicitly chooses to reveal it. The message hash allows integrity verification without revealing content. The holder can choose what to disclose in each context: only the result, the issuer but not the content, or the full chain.</w:t>
      </w:r>
    </w:p>
    <w:p>
      <w:pPr>
        <w:pStyle w:val="Heading1"/>
        <w:spacing w:before="480" w:after="200"/>
      </w:pPr>
      <w:r>
        <w:rPr>
          <w:rFonts w:ascii="Arial" w:cs="Arial" w:eastAsia="Arial" w:hAnsi="Arial"/>
          <w:b/>
          <w:bCs/>
          <w:color w:val="1A1A2E"/>
          <w:sz w:val="34"/>
          <w:szCs w:val="34"/>
        </w:rPr>
        <w:t xml:space="preserve">7. Use Cases</w:t>
      </w:r>
    </w:p>
    <w:p>
      <w:pPr>
        <w:spacing w:before="80" w:after="160"/>
        <w:jc w:val="both"/>
      </w:pPr>
      <w:r>
        <w:rPr>
          <w:rFonts w:ascii="Arial" w:cs="Arial" w:eastAsia="Arial" w:hAnsi="Arial"/>
          <w:sz w:val="22"/>
          <w:szCs w:val="22"/>
        </w:rPr>
        <w:t xml:space="preserve">The protocol is content-agnostic. Illustrative cases: academic and professional credentials; verified reviews by physical presence; communication verification; condition verification without revealing underlying data (age over 18, professional registration); authority delegation within organisations; verifiable authorship of content.</w:t>
      </w:r>
    </w:p>
    <w:p>
      <w:pPr>
        <w:pStyle w:val="Heading1"/>
        <w:spacing w:before="480" w:after="200"/>
      </w:pPr>
      <w:r>
        <w:rPr>
          <w:rFonts w:ascii="Arial" w:cs="Arial" w:eastAsia="Arial" w:hAnsi="Arial"/>
          <w:b/>
          <w:bCs/>
          <w:color w:val="1A1A2E"/>
          <w:sz w:val="34"/>
          <w:szCs w:val="34"/>
        </w:rPr>
        <w:t xml:space="preserve">8. Two Layers — Registry and Process</w:t>
      </w:r>
    </w:p>
    <w:p>
      <w:pPr>
        <w:spacing w:before="80" w:after="160"/>
        <w:jc w:val="both"/>
      </w:pPr>
      <w:r>
        <w:rPr>
          <w:rFonts w:ascii="Arial" w:cs="Arial" w:eastAsia="Arial" w:hAnsi="Arial"/>
          <w:sz w:val="22"/>
          <w:szCs w:val="22"/>
        </w:rPr>
        <w:t xml:space="preserve">The protocol explicitly distinguishes two layers. The registry layer is the permanent graph of verified facts — signed, immutable, auditable. The process layer consists of the information flows between nodes to establish facts in the registry — ephemeral, operational, not part of the permanent graph. A verifier never needs to see the process flows, only the result in the registry.</w:t>
      </w:r>
    </w:p>
    <w:p>
      <w:pPr>
        <w:pStyle w:val="Heading1"/>
        <w:spacing w:before="480" w:after="200"/>
      </w:pPr>
      <w:r>
        <w:rPr>
          <w:rFonts w:ascii="Arial" w:cs="Arial" w:eastAsia="Arial" w:hAnsi="Arial"/>
          <w:b/>
          <w:bCs/>
          <w:color w:val="1A1A2E"/>
          <w:sz w:val="34"/>
          <w:szCs w:val="34"/>
        </w:rPr>
        <w:t xml:space="preserve">9. Sustainability Model</w:t>
      </w:r>
    </w:p>
    <w:p>
      <w:pPr>
        <w:spacing w:before="80" w:after="160"/>
        <w:jc w:val="both"/>
      </w:pPr>
      <w:r>
        <w:rPr>
          <w:rFonts w:ascii="Arial" w:cs="Arial" w:eastAsia="Arial" w:hAnsi="Arial"/>
          <w:sz w:val="22"/>
          <w:szCs w:val="22"/>
        </w:rPr>
        <w:t xml:space="preserve">The protocol is open. What can be monetised is the service layer above the protocol: formal recognition as an agent (signal value, especially initially); managed infrastructure for entities that want to participate without running their own node; verification API for third-party applications. The protocol format, the ability to run own nodes, direct URL verification, and publishing credentials without going through the root remain free permanently.</w:t>
      </w:r>
    </w:p>
    <w:p>
      <w:pPr>
        <w:pStyle w:val="Heading1"/>
        <w:spacing w:before="480" w:after="200"/>
      </w:pPr>
      <w:r>
        <w:rPr>
          <w:rFonts w:ascii="Arial" w:cs="Arial" w:eastAsia="Arial" w:hAnsi="Arial"/>
          <w:b/>
          <w:bCs/>
          <w:color w:val="1A1A2E"/>
          <w:sz w:val="34"/>
          <w:szCs w:val="34"/>
        </w:rPr>
        <w:t xml:space="preserve">10. The Bootstrap Problem</w:t>
      </w:r>
    </w:p>
    <w:p>
      <w:pPr>
        <w:spacing w:before="80" w:after="160"/>
        <w:jc w:val="both"/>
      </w:pPr>
      <w:r>
        <w:rPr>
          <w:rFonts w:ascii="Arial" w:cs="Arial" w:eastAsia="Arial" w:hAnsi="Arial"/>
          <w:sz w:val="22"/>
          <w:szCs w:val="22"/>
        </w:rPr>
        <w:t xml:space="preserve">The root's value depends on the reputation of those who operate it. Trust systems do not emerge from nothing — they need a starting point with sufficient credibility. The correct bootstrap strategy is to publish the protocol openly with established temporal priority, before any competitor can claim the same idea. A root operating a closed protocol can be replaced by anyone publishing a better one. A root operating the de facto standard protocol accumulates legitimacy that cannot be copied.</w:t>
      </w:r>
    </w:p>
    <w:p>
      <w:pPr>
        <w:pStyle w:val="Heading1"/>
        <w:spacing w:before="480" w:after="200"/>
      </w:pPr>
      <w:r>
        <w:rPr>
          <w:rFonts w:ascii="Arial" w:cs="Arial" w:eastAsia="Arial" w:hAnsi="Arial"/>
          <w:b/>
          <w:bCs/>
          <w:color w:val="1A1A2E"/>
          <w:sz w:val="34"/>
          <w:szCs w:val="34"/>
        </w:rPr>
        <w:t xml:space="preserve">11. Open Questions</w:t>
      </w:r>
    </w:p>
    <w:p>
      <w:pPr>
        <w:pStyle w:val="Heading2"/>
        <w:spacing w:before="320" w:after="140"/>
      </w:pPr>
      <w:r>
        <w:rPr>
          <w:rFonts w:ascii="Arial" w:cs="Arial" w:eastAsia="Arial" w:hAnsi="Arial"/>
          <w:b/>
          <w:bCs/>
          <w:color w:val="2C3E7A"/>
          <w:sz w:val="26"/>
          <w:szCs w:val="26"/>
        </w:rPr>
        <w:t xml:space="preserve">11.1 Anchor entity failure</w:t>
      </w:r>
    </w:p>
    <w:p>
      <w:pPr>
        <w:spacing w:before="80" w:after="160"/>
        <w:jc w:val="both"/>
      </w:pPr>
      <w:r>
        <w:rPr>
          <w:rFonts w:ascii="Arial" w:cs="Arial" w:eastAsia="Arial" w:hAnsi="Arial"/>
          <w:sz w:val="22"/>
          <w:szCs w:val="22"/>
        </w:rPr>
        <w:t xml:space="preserve">If an entity's URL disappears abruptly, the credentials it issued lose their anchor. For orderly disappearances the protocol facilitates record transfer to a successor. For abrupt disappearances the solution is external to the protocol — institutional or legal. The protocol inherits this limit honestly.</w:t>
      </w:r>
    </w:p>
    <w:p>
      <w:pPr>
        <w:pStyle w:val="Heading2"/>
        <w:spacing w:before="320" w:after="140"/>
      </w:pPr>
      <w:r>
        <w:rPr>
          <w:rFonts w:ascii="Arial" w:cs="Arial" w:eastAsia="Arial" w:hAnsi="Arial"/>
          <w:b/>
          <w:bCs/>
          <w:color w:val="2C3E7A"/>
          <w:sz w:val="26"/>
          <w:szCs w:val="26"/>
        </w:rPr>
        <w:t xml:space="preserve">11.2 Scope of issued credentials</w:t>
      </w:r>
    </w:p>
    <w:p>
      <w:pPr>
        <w:spacing w:before="80" w:after="160"/>
        <w:jc w:val="both"/>
      </w:pPr>
      <w:r>
        <w:rPr>
          <w:rFonts w:ascii="Arial" w:cs="Arial" w:eastAsia="Arial" w:hAnsi="Arial"/>
          <w:sz w:val="22"/>
          <w:szCs w:val="22"/>
        </w:rPr>
        <w:t xml:space="preserve">The protocol does not impose restrictions on what a recognised agent may certify. Mechanisms to declare and verify an agent's scope of competence will be designed in v0.3.</w:t>
      </w:r>
    </w:p>
    <w:p>
      <w:pPr>
        <w:pStyle w:val="Heading2"/>
        <w:spacing w:before="320" w:after="140"/>
      </w:pPr>
      <w:r>
        <w:rPr>
          <w:rFonts w:ascii="Arial" w:cs="Arial" w:eastAsia="Arial" w:hAnsi="Arial"/>
          <w:b/>
          <w:bCs/>
          <w:color w:val="2C3E7A"/>
          <w:sz w:val="26"/>
          <w:szCs w:val="26"/>
        </w:rPr>
        <w:t xml:space="preserve">11.3 Advanced privacy via zero-knowledge proofs</w:t>
      </w:r>
    </w:p>
    <w:p>
      <w:pPr>
        <w:spacing w:before="80" w:after="160"/>
        <w:jc w:val="both"/>
      </w:pPr>
      <w:r>
        <w:rPr>
          <w:rFonts w:ascii="Arial" w:cs="Arial" w:eastAsia="Arial" w:hAnsi="Arial"/>
          <w:sz w:val="22"/>
          <w:szCs w:val="22"/>
        </w:rPr>
        <w:t xml:space="preserve">A ZKP-based implementation would allow proving credential validity without revealing any element of the chain. This is a research direction for future versions.</w:t>
      </w:r>
    </w:p>
    <w:p>
      <w:pPr>
        <w:pStyle w:val="Heading2"/>
        <w:spacing w:before="320" w:after="140"/>
      </w:pPr>
      <w:r>
        <w:rPr>
          <w:rFonts w:ascii="Arial" w:cs="Arial" w:eastAsia="Arial" w:hAnsi="Arial"/>
          <w:b/>
          <w:bCs/>
          <w:color w:val="2C3E7A"/>
          <w:sz w:val="26"/>
          <w:szCs w:val="26"/>
        </w:rPr>
        <w:t xml:space="preserve">11.4 Standard format for the process layer</w:t>
      </w:r>
    </w:p>
    <w:p>
      <w:pPr>
        <w:spacing w:before="80" w:after="160"/>
        <w:jc w:val="both"/>
      </w:pPr>
      <w:r>
        <w:rPr>
          <w:rFonts w:ascii="Arial" w:cs="Arial" w:eastAsia="Arial" w:hAnsi="Arial"/>
          <w:sz w:val="22"/>
          <w:szCs w:val="22"/>
        </w:rPr>
        <w:t xml:space="preserve">The protocol defines the registry layer but not the format of inter-node flows in the process layer. An interoperability standard for these flows will be addressed in v0.2.</w:t>
      </w:r>
    </w:p>
    <w:p>
      <w:pPr>
        <w:pStyle w:val="Heading1"/>
        <w:spacing w:before="480" w:after="200"/>
      </w:pPr>
      <w:r>
        <w:rPr>
          <w:rFonts w:ascii="Arial" w:cs="Arial" w:eastAsia="Arial" w:hAnsi="Arial"/>
          <w:b/>
          <w:bCs/>
          <w:color w:val="1A1A2E"/>
          <w:sz w:val="34"/>
          <w:szCs w:val="34"/>
        </w:rPr>
        <w:t xml:space="preserve">Appendix A — Reserved Vocabulary</w:t>
      </w:r>
    </w:p>
    <w:p>
      <w:pPr>
        <w:pStyle w:val="Heading2"/>
        <w:spacing w:before="320" w:after="140"/>
      </w:pPr>
      <w:r>
        <w:rPr>
          <w:rFonts w:ascii="Arial" w:cs="Arial" w:eastAsia="Arial" w:hAnsi="Arial"/>
          <w:b/>
          <w:bCs/>
          <w:color w:val="2C3E7A"/>
          <w:sz w:val="26"/>
          <w:szCs w:val="26"/>
        </w:rPr>
        <w:t xml:space="preserve">A.0 The root folder — trusteado/</w:t>
      </w:r>
    </w:p>
    <w:p>
      <w:pPr>
        <w:spacing w:before="80" w:after="160"/>
        <w:jc w:val="both"/>
      </w:pPr>
      <w:r>
        <w:rPr>
          <w:rFonts w:ascii="Arial" w:cs="Arial" w:eastAsia="Arial" w:hAnsi="Arial"/>
          <w:sz w:val="22"/>
          <w:szCs w:val="22"/>
        </w:rPr>
        <w:t xml:space="preserve">Everything the protocol needs lives under a single root folder: trusteado/. It is the only folder an entity needs to create, move, or upload to participate. If the entity changes hosting while keeping the same domain, it moves the trusteado/ folder to the new server and everything continues working — the entity_id does not change because it is calculated from the normalised domain, not the infrastructure.</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casapepe.es/trusteado/</w:t>
      </w:r>
    </w:p>
    <w:p>
      <w:pPr>
        <w:shd w:fill="F0F4F8" w:val="clear"/>
        <w:spacing w:before="0" w:after="0"/>
        <w:ind w:left="600" w:right="400"/>
      </w:pPr>
      <w:r>
        <w:rPr>
          <w:rFonts w:ascii="Courier New" w:cs="Courier New" w:eastAsia="Courier New" w:hAnsi="Courier New"/>
          <w:color w:val="1A3A5C"/>
          <w:sz w:val="19"/>
          <w:szCs w:val="19"/>
        </w:rPr>
        <w:t xml:space="preserve">  identity/</w:t>
      </w:r>
    </w:p>
    <w:p>
      <w:pPr>
        <w:shd w:fill="F0F4F8" w:val="clear"/>
        <w:spacing w:before="0" w:after="0"/>
        <w:ind w:left="600" w:right="400"/>
      </w:pPr>
      <w:r>
        <w:rPr>
          <w:rFonts w:ascii="Courier New" w:cs="Courier New" w:eastAsia="Courier New" w:hAnsi="Courier New"/>
          <w:color w:val="1A3A5C"/>
          <w:sz w:val="19"/>
          <w:szCs w:val="19"/>
        </w:rPr>
        <w:t xml:space="preserve">  registry/</w:t>
      </w:r>
    </w:p>
    <w:p>
      <w:pPr>
        <w:shd w:fill="F0F4F8" w:val="clear"/>
        <w:spacing w:before="0" w:after="0"/>
        <w:ind w:left="600" w:right="400"/>
      </w:pPr>
      <w:r>
        <w:rPr>
          <w:rFonts w:ascii="Courier New" w:cs="Courier New" w:eastAsia="Courier New" w:hAnsi="Courier New"/>
          <w:color w:val="1A3A5C"/>
          <w:sz w:val="19"/>
          <w:szCs w:val="19"/>
        </w:rPr>
        <w:t xml:space="preserve">  transactions/</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A.1 URL normalisation for entity_id</w:t>
      </w:r>
    </w:p>
    <w:p>
      <w:pPr>
        <w:spacing w:before="80" w:after="160"/>
        <w:jc w:val="both"/>
      </w:pPr>
      <w:r>
        <w:rPr>
          <w:rFonts w:ascii="Arial" w:cs="Arial" w:eastAsia="Arial" w:hAnsi="Arial"/>
          <w:sz w:val="22"/>
          <w:szCs w:val="22"/>
        </w:rPr>
        <w:t xml:space="preserve">The entity_id is calculated externally by any verifier — the entity cannot declare it. Normalisation is minimal and only removes technical URL scheme fields, never paths. Preserving full paths is critical: if paths were removed, two distinct entities could obtain the same entity_id.</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normalise(url):</w:t>
      </w:r>
    </w:p>
    <w:p>
      <w:pPr>
        <w:shd w:fill="F0F4F8" w:val="clear"/>
        <w:spacing w:before="0" w:after="0"/>
        <w:ind w:left="600" w:right="400"/>
      </w:pPr>
      <w:r>
        <w:rPr>
          <w:rFonts w:ascii="Courier New" w:cs="Courier New" w:eastAsia="Courier New" w:hAnsi="Courier New"/>
          <w:color w:val="1A3A5C"/>
          <w:sz w:val="19"/>
          <w:szCs w:val="19"/>
        </w:rPr>
        <w:t xml:space="preserve">  1. lowercase</w:t>
      </w:r>
    </w:p>
    <w:p>
      <w:pPr>
        <w:shd w:fill="F0F4F8" w:val="clear"/>
        <w:spacing w:before="0" w:after="0"/>
        <w:ind w:left="600" w:right="400"/>
      </w:pPr>
      <w:r>
        <w:rPr>
          <w:rFonts w:ascii="Courier New" w:cs="Courier New" w:eastAsia="Courier New" w:hAnsi="Courier New"/>
          <w:color w:val="1A3A5C"/>
          <w:sz w:val="19"/>
          <w:szCs w:val="19"/>
        </w:rPr>
        <w:t xml:space="preserve">  2. remove www prefix</w:t>
      </w:r>
    </w:p>
    <w:p>
      <w:pPr>
        <w:shd w:fill="F0F4F8" w:val="clear"/>
        <w:spacing w:before="0" w:after="0"/>
        <w:ind w:left="600" w:right="400"/>
      </w:pPr>
      <w:r>
        <w:rPr>
          <w:rFonts w:ascii="Courier New" w:cs="Courier New" w:eastAsia="Courier New" w:hAnsi="Courier New"/>
          <w:color w:val="1A3A5C"/>
          <w:sz w:val="19"/>
          <w:szCs w:val="19"/>
        </w:rPr>
        <w:t xml:space="preserve">  3. remove standard port (443/80)</w:t>
      </w:r>
    </w:p>
    <w:p>
      <w:pPr>
        <w:shd w:fill="F0F4F8" w:val="clear"/>
        <w:spacing w:before="0" w:after="0"/>
        <w:ind w:left="600" w:right="400"/>
      </w:pPr>
      <w:r>
        <w:rPr>
          <w:rFonts w:ascii="Courier New" w:cs="Courier New" w:eastAsia="Courier New" w:hAnsi="Courier New"/>
          <w:color w:val="1A3A5C"/>
          <w:sz w:val="19"/>
          <w:szCs w:val="19"/>
        </w:rPr>
        <w:t xml:space="preserve">  4. remove trailing slash</w:t>
      </w:r>
    </w:p>
    <w:p>
      <w:pPr>
        <w:shd w:fill="F0F4F8" w:val="clear"/>
        <w:spacing w:before="0" w:after="0"/>
        <w:ind w:left="600" w:right="400"/>
      </w:pPr>
      <w:r>
        <w:rPr>
          <w:rFonts w:ascii="Courier New" w:cs="Courier New" w:eastAsia="Courier New" w:hAnsi="Courier New"/>
          <w:color w:val="1A3A5C"/>
          <w:sz w:val="19"/>
          <w:szCs w:val="19"/>
        </w:rPr>
        <w:t xml:space="preserve">  5. remove query params (?...)</w:t>
      </w:r>
    </w:p>
    <w:p>
      <w:pPr>
        <w:shd w:fill="F0F4F8" w:val="clear"/>
        <w:spacing w:before="0" w:after="0"/>
        <w:ind w:left="600" w:right="400"/>
      </w:pPr>
      <w:r>
        <w:rPr>
          <w:rFonts w:ascii="Courier New" w:cs="Courier New" w:eastAsia="Courier New" w:hAnsi="Courier New"/>
          <w:color w:val="1A3A5C"/>
          <w:sz w:val="19"/>
          <w:szCs w:val="19"/>
        </w:rPr>
        <w:t xml:space="preserve">  6. remove fragments (#...)</w:t>
      </w:r>
    </w:p>
    <w:p>
      <w:pPr>
        <w:shd w:fill="F0F4F8" w:val="clear"/>
        <w:spacing w:before="0" w:after="0"/>
        <w:ind w:left="600" w:right="400"/>
      </w:pPr>
      <w:r>
        <w:rPr>
          <w:rFonts w:ascii="Courier New" w:cs="Courier New" w:eastAsia="Courier New" w:hAnsi="Courier New"/>
          <w:color w:val="1A3A5C"/>
          <w:sz w:val="19"/>
          <w:szCs w:val="19"/>
        </w:rPr>
        <w:t xml:space="preserve">  7. preserve full path  ← never remove paths</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entity_id = SHA-256(normalise(url))</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A.2 trusteado/identity/</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trusteado/identity/</w:t>
      </w:r>
    </w:p>
    <w:p>
      <w:pPr>
        <w:shd w:fill="F0F4F8" w:val="clear"/>
        <w:spacing w:before="0" w:after="0"/>
        <w:ind w:left="600" w:right="400"/>
      </w:pPr>
      <w:r>
        <w:rPr>
          <w:rFonts w:ascii="Courier New" w:cs="Courier New" w:eastAsia="Courier New" w:hAnsi="Courier New"/>
          <w:color w:val="1A3A5C"/>
          <w:sz w:val="19"/>
          <w:szCs w:val="19"/>
        </w:rPr>
        <w:t xml:space="preserve">  public_key       ← node public key (base64, P-256)</w:t>
      </w:r>
    </w:p>
    <w:p>
      <w:pPr>
        <w:shd w:fill="F0F4F8" w:val="clear"/>
        <w:spacing w:before="0" w:after="0"/>
        <w:ind w:left="600" w:right="400"/>
      </w:pPr>
      <w:r>
        <w:rPr>
          <w:rFonts w:ascii="Courier New" w:cs="Courier New" w:eastAsia="Courier New" w:hAnsi="Courier New"/>
          <w:color w:val="1A3A5C"/>
          <w:sz w:val="19"/>
          <w:szCs w:val="19"/>
        </w:rPr>
        <w:t xml:space="preserve">  hash_migracion   ← hash(entity_id, emergency_key_1)</w:t>
      </w:r>
    </w:p>
    <w:p>
      <w:pPr>
        <w:shd w:fill="F0F4F8" w:val="clear"/>
        <w:spacing w:before="0" w:after="0"/>
        <w:ind w:left="600" w:right="400"/>
      </w:pPr>
      <w:r>
        <w:rPr>
          <w:rFonts w:ascii="Courier New" w:cs="Courier New" w:eastAsia="Courier New" w:hAnsi="Courier New"/>
          <w:color w:val="1A3A5C"/>
          <w:sz w:val="19"/>
          <w:szCs w:val="19"/>
        </w:rPr>
        <w:t xml:space="preserve">  hash_disputa     ← hash(entity_id, emergency_key_2)</w:t>
      </w:r>
    </w:p>
    <w:p>
      <w:pPr>
        <w:shd w:fill="F0F4F8" w:val="clear"/>
        <w:spacing w:before="0" w:after="0"/>
        <w:ind w:left="600" w:right="400"/>
      </w:pPr>
      <w:r>
        <w:rPr>
          <w:rFonts w:ascii="Courier New" w:cs="Courier New" w:eastAsia="Courier New" w:hAnsi="Courier New"/>
          <w:color w:val="1A3A5C"/>
          <w:sz w:val="19"/>
          <w:szCs w:val="19"/>
        </w:rPr>
        <w:t xml:space="preserve">  entity_type      ← university | company | person | server | ...</w:t>
      </w:r>
    </w:p>
    <w:p>
      <w:pPr>
        <w:shd w:fill="F0F4F8" w:val="clear"/>
        <w:spacing w:before="0" w:after="0"/>
        <w:ind w:left="600" w:right="400"/>
      </w:pPr>
      <w:r>
        <w:rPr>
          <w:rFonts w:ascii="Courier New" w:cs="Courier New" w:eastAsia="Courier New" w:hAnsi="Courier New"/>
          <w:color w:val="1A3A5C"/>
          <w:sz w:val="19"/>
          <w:szCs w:val="19"/>
        </w:rPr>
        <w:t xml:space="preserve">  scope            ← declared scope of credentials issued</w:t>
      </w:r>
    </w:p>
    <w:p>
      <w:pPr>
        <w:shd w:fill="F0F4F8" w:val="clear"/>
        <w:spacing w:before="0" w:after="0"/>
        <w:ind w:left="600" w:right="400"/>
      </w:pPr>
      <w:r>
        <w:rPr>
          <w:rFonts w:ascii="Courier New" w:cs="Courier New" w:eastAsia="Courier New" w:hAnsi="Courier New"/>
          <w:color w:val="1A3A5C"/>
          <w:sz w:val="19"/>
          <w:szCs w:val="19"/>
        </w:rPr>
        <w:t xml:space="preserve">  root_certificate ← certificate signed by root (if exists)</w:t>
      </w:r>
    </w:p>
    <w:p>
      <w:pPr>
        <w:shd w:fill="F0F4F8" w:val="clear"/>
        <w:spacing w:before="0" w:after="0"/>
        <w:ind w:left="600" w:right="400"/>
      </w:pPr>
      <w:r>
        <w:rPr>
          <w:rFonts w:ascii="Courier New" w:cs="Courier New" w:eastAsia="Courier New" w:hAnsi="Courier New"/>
          <w:color w:val="1A3A5C"/>
          <w:sz w:val="19"/>
          <w:szCs w:val="19"/>
        </w:rPr>
        <w:t xml:space="preserve">  dispute_level    ← maximum level to which this node may escalate disputes</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A.3 trusteado/registry/</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trusteado/registry/</w:t>
      </w:r>
    </w:p>
    <w:p>
      <w:pPr>
        <w:shd w:fill="F0F4F8" w:val="clear"/>
        <w:spacing w:before="0" w:after="0"/>
        <w:ind w:left="600" w:right="400"/>
      </w:pPr>
      <w:r>
        <w:rPr>
          <w:rFonts w:ascii="Courier New" w:cs="Courier New" w:eastAsia="Courier New" w:hAnsi="Courier New"/>
          <w:color w:val="1A3A5C"/>
          <w:sz w:val="19"/>
          <w:szCs w:val="19"/>
        </w:rPr>
        <w:t xml:space="preserve">  old_identities/  ← full historical chain of prior identities</w:t>
      </w:r>
    </w:p>
    <w:p>
      <w:pPr>
        <w:shd w:fill="F0F4F8" w:val="clear"/>
        <w:spacing w:before="0" w:after="0"/>
        <w:ind w:left="600" w:right="400"/>
      </w:pPr>
      <w:r>
        <w:rPr>
          <w:rFonts w:ascii="Courier New" w:cs="Courier New" w:eastAsia="Courier New" w:hAnsi="Courier New"/>
          <w:color w:val="1A3A5C"/>
          <w:sz w:val="19"/>
          <w:szCs w:val="19"/>
        </w:rPr>
        <w:t xml:space="preserve">  desde/           ← start dates of recognised nodes</w:t>
      </w:r>
    </w:p>
    <w:p>
      <w:pPr>
        <w:shd w:fill="F0F4F8" w:val="clear"/>
        <w:spacing w:before="0" w:after="0"/>
        <w:ind w:left="600" w:right="400"/>
      </w:pPr>
      <w:r>
        <w:rPr>
          <w:rFonts w:ascii="Courier New" w:cs="Courier New" w:eastAsia="Courier New" w:hAnsi="Courier New"/>
          <w:color w:val="1A3A5C"/>
          <w:sz w:val="19"/>
          <w:szCs w:val="19"/>
        </w:rPr>
        <w:t xml:space="preserve">  hasta/           ← end dates of recognised nodes</w:t>
      </w:r>
    </w:p>
    <w:p>
      <w:pPr>
        <w:shd w:fill="F0F4F8" w:val="clear"/>
        <w:spacing w:before="0" w:after="0"/>
        <w:ind w:left="600" w:right="400"/>
      </w:pPr>
      <w:r>
        <w:rPr>
          <w:rFonts w:ascii="Courier New" w:cs="Courier New" w:eastAsia="Courier New" w:hAnsi="Courier New"/>
          <w:color w:val="1A3A5C"/>
          <w:sz w:val="19"/>
          <w:szCs w:val="19"/>
        </w:rPr>
        <w:t xml:space="preserve">  externals/       ← links to uncontrolled external systems</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A.4 The externals/ folder</w:t>
      </w:r>
    </w:p>
    <w:p>
      <w:pPr>
        <w:spacing w:before="80" w:after="160"/>
        <w:jc w:val="both"/>
      </w:pPr>
      <w:r>
        <w:rPr>
          <w:rFonts w:ascii="Arial" w:cs="Arial" w:eastAsia="Arial" w:hAnsi="Arial"/>
          <w:sz w:val="22"/>
          <w:szCs w:val="22"/>
        </w:rPr>
        <w:t xml:space="preserve">Any folder under externals/ declares that the node links to something it does not control. Outside externals/, controlling the URL implies controlling the content. Inside externals/, the node only guarantees the authenticity of the link.</w:t>
      </w:r>
    </w:p>
    <w:p>
      <w:pPr>
        <w:pStyle w:val="Heading2"/>
        <w:spacing w:before="320" w:after="140"/>
      </w:pPr>
      <w:r>
        <w:rPr>
          <w:rFonts w:ascii="Arial" w:cs="Arial" w:eastAsia="Arial" w:hAnsi="Arial"/>
          <w:b/>
          <w:bCs/>
          <w:color w:val="2C3E7A"/>
          <w:sz w:val="26"/>
          <w:szCs w:val="26"/>
        </w:rPr>
        <w:t xml:space="preserve">A.5 The desde/ and hasta/ convention</w:t>
      </w:r>
    </w:p>
    <w:p>
      <w:pPr>
        <w:spacing w:before="80" w:after="160"/>
        <w:jc w:val="both"/>
      </w:pPr>
      <w:r>
        <w:rPr>
          <w:rFonts w:ascii="Arial" w:cs="Arial" w:eastAsia="Arial" w:hAnsi="Arial"/>
          <w:sz w:val="22"/>
          <w:szCs w:val="22"/>
        </w:rPr>
        <w:t xml:space="preserve">Credential validity dates are expressed as ISO 8601 (YYYY-MM-DD) subfolders. Presence in desde/ without a corresponding hasta/ entry indicates the credential is still active. Both folders are under the superior's control, never the certified node's.</w:t>
      </w:r>
    </w:p>
    <w:p>
      <w:pPr>
        <w:pStyle w:val="Heading1"/>
        <w:spacing w:before="480" w:after="200"/>
      </w:pPr>
      <w:r>
        <w:rPr>
          <w:rFonts w:ascii="Arial" w:cs="Arial" w:eastAsia="Arial" w:hAnsi="Arial"/>
          <w:b/>
          <w:bCs/>
          <w:color w:val="1A1A2E"/>
          <w:sz w:val="34"/>
          <w:szCs w:val="34"/>
        </w:rPr>
        <w:t xml:space="preserve">Appendix B — Dispute Resolution</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Level 1 — immediate superior resolves        (low cost)</w:t>
      </w:r>
    </w:p>
    <w:p>
      <w:pPr>
        <w:shd w:fill="F0F4F8" w:val="clear"/>
        <w:spacing w:before="0" w:after="0"/>
        <w:ind w:left="600" w:right="400"/>
      </w:pPr>
      <w:r>
        <w:rPr>
          <w:rFonts w:ascii="Courier New" w:cs="Courier New" w:eastAsia="Courier New" w:hAnsi="Courier New"/>
          <w:color w:val="1A3A5C"/>
          <w:sz w:val="19"/>
          <w:szCs w:val="19"/>
        </w:rPr>
        <w:t xml:space="preserve">Level 2 — appeal to superior's superior      (medium cost)</w:t>
      </w:r>
    </w:p>
    <w:p>
      <w:pPr>
        <w:shd w:fill="F0F4F8" w:val="clear"/>
        <w:spacing w:before="0" w:after="0"/>
        <w:ind w:left="600" w:right="400"/>
      </w:pPr>
      <w:r>
        <w:rPr>
          <w:rFonts w:ascii="Courier New" w:cs="Courier New" w:eastAsia="Courier New" w:hAnsi="Courier New"/>
          <w:color w:val="1A3A5C"/>
          <w:sz w:val="19"/>
          <w:szCs w:val="19"/>
        </w:rPr>
        <w:t xml:space="preserve">...</w:t>
      </w:r>
    </w:p>
    <w:p>
      <w:pPr>
        <w:shd w:fill="F0F4F8" w:val="clear"/>
        <w:spacing w:before="0" w:after="0"/>
        <w:ind w:left="600" w:right="400"/>
      </w:pPr>
      <w:r>
        <w:rPr>
          <w:rFonts w:ascii="Courier New" w:cs="Courier New" w:eastAsia="Courier New" w:hAnsi="Courier New"/>
          <w:color w:val="1A3A5C"/>
          <w:sz w:val="19"/>
          <w:szCs w:val="19"/>
        </w:rPr>
        <w:t xml:space="preserve">Level N — root as court of last resort       (high cost)</w:t>
      </w:r>
    </w:p>
    <w:p>
      <w:pPr>
        <w:shd w:fill="F0F4F8" w:val="clear"/>
        <w:spacing w:before="0" w:after="0"/>
        <w:ind w:left="600" w:right="400"/>
      </w:pPr>
      <w:r>
        <w:rPr>
          <w:rFonts w:ascii="Courier New" w:cs="Courier New" w:eastAsia="Courier New" w:hAnsi="Courier New"/>
          <w:color w:val="1A3A5C"/>
          <w:sz w:val="19"/>
          <w:szCs w:val="19"/>
        </w:rPr>
        <w:t xml:space="preserve">          only after lower levels exhausted</w:t>
      </w:r>
    </w:p>
    <w:p>
      <w:pPr>
        <w:shd w:fill="F0F4F8" w:val="clear"/>
        <w:spacing w:before="0" w:after="120"/>
        <w:ind w:left="400" w:right="400"/>
      </w:pPr>
    </w:p>
    <w:p>
      <w:pPr>
        <w:spacing w:before="80" w:after="160"/>
        <w:jc w:val="both"/>
      </w:pPr>
      <w:r>
        <w:rPr>
          <w:rFonts w:ascii="Arial" w:cs="Arial" w:eastAsia="Arial" w:hAnsi="Arial"/>
          <w:sz w:val="22"/>
          <w:szCs w:val="22"/>
        </w:rPr>
        <w:t xml:space="preserve">Each level has increasing cost — economic and reputational — to discourage frivolous use. The model is analogous to court filing fees: they exist to make appeals proportional to the gravity of the matter. The hash_disputa is the cryptographic chain of custody of the disputant's identity throughout the escalation.</w:t>
      </w:r>
    </w:p>
    <w:p>
      <w:pPr>
        <w:pStyle w:val="Heading1"/>
        <w:spacing w:before="480" w:after="200"/>
      </w:pPr>
      <w:r>
        <w:rPr>
          <w:rFonts w:ascii="Arial" w:cs="Arial" w:eastAsia="Arial" w:hAnsi="Arial"/>
          <w:b/>
          <w:bCs/>
          <w:color w:val="1A1A2E"/>
          <w:sz w:val="34"/>
          <w:szCs w:val="34"/>
        </w:rPr>
        <w:t xml:space="preserve">Appendix C — Minimum Protocol API</w:t>
      </w:r>
    </w:p>
    <w:p>
      <w:pPr>
        <w:spacing w:before="80" w:after="160"/>
        <w:jc w:val="both"/>
      </w:pPr>
      <w:r>
        <w:rPr>
          <w:rFonts w:ascii="Arial" w:cs="Arial" w:eastAsia="Arial" w:hAnsi="Arial"/>
          <w:sz w:val="22"/>
          <w:szCs w:val="22"/>
        </w:rPr>
        <w:t xml:space="preserve">The API defines how to interact with a node. It is implementation-independent — a node may be a static web server, a REST API, or a microservice, as long as it exposes these methods with the same semantics.</w:t>
      </w:r>
    </w:p>
    <w:p>
      <w:pPr>
        <w:pStyle w:val="Heading2"/>
        <w:spacing w:before="320" w:after="140"/>
      </w:pPr>
      <w:r>
        <w:rPr>
          <w:rFonts w:ascii="Arial" w:cs="Arial" w:eastAsia="Arial" w:hAnsi="Arial"/>
          <w:b/>
          <w:bCs/>
          <w:color w:val="2C3E7A"/>
          <w:sz w:val="26"/>
          <w:szCs w:val="26"/>
        </w:rPr>
        <w:t xml:space="preserve">C.1 Verification</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verify(url, folder)</w:t>
      </w:r>
    </w:p>
    <w:p>
      <w:pPr>
        <w:shd w:fill="F0F4F8" w:val="clear"/>
        <w:spacing w:before="0" w:after="0"/>
        <w:ind w:left="600" w:right="400"/>
      </w:pPr>
      <w:r>
        <w:rPr>
          <w:rFonts w:ascii="Courier New" w:cs="Courier New" w:eastAsia="Courier New" w:hAnsi="Courier New"/>
          <w:color w:val="1A3A5C"/>
          <w:sz w:val="19"/>
          <w:szCs w:val="19"/>
        </w:rPr>
        <w:t xml:space="preserve">  → is this node in this folder right now?</w:t>
      </w:r>
    </w:p>
    <w:p>
      <w:pPr>
        <w:shd w:fill="F0F4F8" w:val="clear"/>
        <w:spacing w:before="0" w:after="0"/>
        <w:ind w:left="600" w:right="400"/>
      </w:pPr>
      <w:r>
        <w:rPr>
          <w:rFonts w:ascii="Courier New" w:cs="Courier New" w:eastAsia="Courier New" w:hAnsi="Courier New"/>
          <w:color w:val="1A3A5C"/>
          <w:sz w:val="19"/>
          <w:szCs w:val="19"/>
        </w:rPr>
        <w:t xml:space="preserve">  → returns: { valid: bool, timestamp: ISO8601, issuer: url }</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getIdentity(url)</w:t>
      </w:r>
    </w:p>
    <w:p>
      <w:pPr>
        <w:shd w:fill="F0F4F8" w:val="clear"/>
        <w:spacing w:before="0" w:after="0"/>
        <w:ind w:left="600" w:right="400"/>
      </w:pPr>
      <w:r>
        <w:rPr>
          <w:rFonts w:ascii="Courier New" w:cs="Courier New" w:eastAsia="Courier New" w:hAnsi="Courier New"/>
          <w:color w:val="1A3A5C"/>
          <w:sz w:val="19"/>
          <w:szCs w:val="19"/>
        </w:rPr>
        <w:t xml:space="preserve">  → get trusteado_identity/ of a node</w:t>
      </w:r>
    </w:p>
    <w:p>
      <w:pPr>
        <w:shd w:fill="F0F4F8" w:val="clear"/>
        <w:spacing w:before="0" w:after="0"/>
        <w:ind w:left="600" w:right="400"/>
      </w:pPr>
      <w:r>
        <w:rPr>
          <w:rFonts w:ascii="Courier New" w:cs="Courier New" w:eastAsia="Courier New" w:hAnsi="Courier New"/>
          <w:color w:val="1A3A5C"/>
          <w:sz w:val="19"/>
          <w:szCs w:val="19"/>
        </w:rPr>
        <w:t xml:space="preserve">  → returns: { public_key, hash_migracion, hash_disputa,</w:t>
      </w:r>
    </w:p>
    <w:p>
      <w:pPr>
        <w:shd w:fill="F0F4F8" w:val="clear"/>
        <w:spacing w:before="0" w:after="0"/>
        <w:ind w:left="600" w:right="400"/>
      </w:pPr>
      <w:r>
        <w:rPr>
          <w:rFonts w:ascii="Courier New" w:cs="Courier New" w:eastAsia="Courier New" w:hAnsi="Courier New"/>
          <w:color w:val="1A3A5C"/>
          <w:sz w:val="19"/>
          <w:szCs w:val="19"/>
        </w:rPr>
        <w:t xml:space="preserve">               entity_type, scope, root_certificate }</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C.2 Lifecycle</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create(url, entity_type, scope)</w:t>
      </w:r>
    </w:p>
    <w:p>
      <w:pPr>
        <w:shd w:fill="F0F4F8" w:val="clear"/>
        <w:spacing w:before="0" w:after="0"/>
        <w:ind w:left="600" w:right="400"/>
      </w:pPr>
      <w:r>
        <w:rPr>
          <w:rFonts w:ascii="Courier New" w:cs="Courier New" w:eastAsia="Courier New" w:hAnsi="Courier New"/>
          <w:color w:val="1A3A5C"/>
          <w:sz w:val="19"/>
          <w:szCs w:val="19"/>
        </w:rPr>
        <w:t xml:space="preserve">certify(subject_url, folder)</w:t>
      </w:r>
    </w:p>
    <w:p>
      <w:pPr>
        <w:shd w:fill="F0F4F8" w:val="clear"/>
        <w:spacing w:before="0" w:after="0"/>
        <w:ind w:left="600" w:right="400"/>
      </w:pPr>
      <w:r>
        <w:rPr>
          <w:rFonts w:ascii="Courier New" w:cs="Courier New" w:eastAsia="Courier New" w:hAnsi="Courier New"/>
          <w:color w:val="1A3A5C"/>
          <w:sz w:val="19"/>
          <w:szCs w:val="19"/>
        </w:rPr>
        <w:t xml:space="preserve">revoke(subject_url, folder)</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C.3 Migration</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migrate(new_superior_url, emergency_key_1)</w:t>
      </w:r>
    </w:p>
    <w:p>
      <w:pPr>
        <w:shd w:fill="F0F4F8" w:val="clear"/>
        <w:spacing w:before="0" w:after="0"/>
        <w:ind w:left="600" w:right="400"/>
      </w:pPr>
      <w:r>
        <w:rPr>
          <w:rFonts w:ascii="Courier New" w:cs="Courier New" w:eastAsia="Courier New" w:hAnsi="Courier New"/>
          <w:color w:val="1A3A5C"/>
          <w:sz w:val="19"/>
          <w:szCs w:val="19"/>
        </w:rPr>
        <w:t xml:space="preserve">adoptNode(subject_url, emergency_key_1)</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C.4 Contextual privacy</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requestReveal(subject_url, field, context)</w:t>
      </w:r>
    </w:p>
    <w:p>
      <w:pPr>
        <w:shd w:fill="F0F4F8" w:val="clear"/>
        <w:spacing w:before="0" w:after="0"/>
        <w:ind w:left="600" w:right="400"/>
      </w:pPr>
      <w:r>
        <w:rPr>
          <w:rFonts w:ascii="Courier New" w:cs="Courier New" w:eastAsia="Courier New" w:hAnsi="Courier New"/>
          <w:color w:val="1A3A5C"/>
          <w:sz w:val="19"/>
          <w:szCs w:val="19"/>
        </w:rPr>
        <w:t xml:space="preserve">  → request access to a protected field</w:t>
      </w:r>
    </w:p>
    <w:p>
      <w:pPr>
        <w:shd w:fill="F0F4F8" w:val="clear"/>
        <w:spacing w:before="0" w:after="0"/>
        <w:ind w:left="600" w:right="400"/>
      </w:pPr>
      <w:r>
        <w:rPr>
          <w:rFonts w:ascii="Courier New" w:cs="Courier New" w:eastAsia="Courier New" w:hAnsi="Courier New"/>
          <w:color w:val="1A3A5C"/>
          <w:sz w:val="19"/>
          <w:szCs w:val="19"/>
        </w:rPr>
        <w:t xml:space="preserve">  → returns: { request_id, status: pending }</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grantReveal(request_id, disclosure_level)</w:t>
      </w:r>
    </w:p>
    <w:p>
      <w:pPr>
        <w:shd w:fill="F0F4F8" w:val="clear"/>
        <w:spacing w:before="0" w:after="0"/>
        <w:ind w:left="600" w:right="400"/>
      </w:pPr>
      <w:r>
        <w:rPr>
          <w:rFonts w:ascii="Courier New" w:cs="Courier New" w:eastAsia="Courier New" w:hAnsi="Courier New"/>
          <w:color w:val="1A3A5C"/>
          <w:sz w:val="19"/>
          <w:szCs w:val="19"/>
        </w:rPr>
        <w:t xml:space="preserve">  → subject grants access</w:t>
      </w:r>
    </w:p>
    <w:p>
      <w:pPr>
        <w:shd w:fill="F0F4F8" w:val="clear"/>
        <w:spacing w:before="0" w:after="0"/>
        <w:ind w:left="600" w:right="400"/>
      </w:pPr>
      <w:r>
        <w:rPr>
          <w:rFonts w:ascii="Courier New" w:cs="Courier New" w:eastAsia="Courier New" w:hAnsi="Courier New"/>
          <w:color w:val="1A3A5C"/>
          <w:sz w:val="19"/>
          <w:szCs w:val="19"/>
        </w:rPr>
        <w:t xml:space="preserve">  → disclosure_level: RESULT_ONLY | ISSUER_ONLY | CONTENT | FULL_CHAIN</w:t>
      </w:r>
    </w:p>
    <w:p>
      <w:pPr>
        <w:shd w:fill="F0F4F8" w:val="clear"/>
        <w:spacing w:before="0" w:after="0"/>
        <w:ind w:left="600" w:right="400"/>
      </w:pPr>
      <w:r>
        <w:rPr>
          <w:rFonts w:ascii="Courier New" w:cs="Courier New" w:eastAsia="Courier New" w:hAnsi="Courier New"/>
          <w:color w:val="1A3A5C"/>
          <w:sz w:val="19"/>
          <w:szCs w:val="19"/>
        </w:rPr>
        <w:t xml:space="preserve">  → transferable: bool</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denyReveal(request_id)</w:t>
      </w:r>
    </w:p>
    <w:p>
      <w:pPr>
        <w:shd w:fill="F0F4F8" w:val="clear"/>
        <w:spacing w:before="0" w:after="0"/>
        <w:ind w:left="600" w:right="400"/>
      </w:pPr>
      <w:r>
        <w:rPr>
          <w:rFonts w:ascii="Courier New" w:cs="Courier New" w:eastAsia="Courier New" w:hAnsi="Courier New"/>
          <w:color w:val="1A3A5C"/>
          <w:sz w:val="19"/>
          <w:szCs w:val="19"/>
        </w:rPr>
        <w:t xml:space="preserve">  → subject denies the request</w:t>
      </w:r>
    </w:p>
    <w:p>
      <w:pPr>
        <w:shd w:fill="F0F4F8" w:val="clear"/>
        <w:spacing w:before="0" w:after="120"/>
        <w:ind w:left="400" w:right="400"/>
      </w:pPr>
    </w:p>
    <w:p>
      <w:pPr>
        <w:pStyle w:val="Heading1"/>
        <w:spacing w:before="480" w:after="200"/>
      </w:pPr>
      <w:r>
        <w:rPr>
          <w:rFonts w:ascii="Arial" w:cs="Arial" w:eastAsia="Arial" w:hAnsi="Arial"/>
          <w:b/>
          <w:bCs/>
          <w:color w:val="1A1A2E"/>
          <w:sz w:val="34"/>
          <w:szCs w:val="34"/>
        </w:rPr>
        <w:t xml:space="preserve">Appendix D — Business Layer — transactions/trusteando/</w:t>
      </w:r>
    </w:p>
    <w:p>
      <w:pPr>
        <w:spacing w:before="80" w:after="160"/>
        <w:jc w:val="both"/>
      </w:pPr>
      <w:r>
        <w:rPr>
          <w:rFonts w:ascii="Arial" w:cs="Arial" w:eastAsia="Arial" w:hAnsi="Arial"/>
          <w:sz w:val="22"/>
          <w:szCs w:val="22"/>
        </w:rPr>
        <w:t xml:space="preserve">The business layer is an optional extension that standardises how verifiable transactions and reputation are expressed. Any node wishing to participate in the ecosystem of verifiable transactions adopts the transactions/trusteando/ convention. The convention is voluntary but strategically important: any system wishing to index, aggregate, or verify transactions and reputation in an interoperable way must speak this language.</w:t>
      </w:r>
    </w:p>
    <w:p>
      <w:pPr>
        <w:pStyle w:val="Heading2"/>
        <w:spacing w:before="320" w:after="140"/>
      </w:pPr>
      <w:r>
        <w:rPr>
          <w:rFonts w:ascii="Arial" w:cs="Arial" w:eastAsia="Arial" w:hAnsi="Arial"/>
          <w:b/>
          <w:bCs/>
          <w:color w:val="2C3E7A"/>
          <w:sz w:val="26"/>
          <w:szCs w:val="26"/>
        </w:rPr>
        <w:t xml:space="preserve">D.1 Structure</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entity.url/transactions/trusteando/</w:t>
      </w:r>
    </w:p>
    <w:p>
      <w:pPr>
        <w:shd w:fill="F0F4F8" w:val="clear"/>
        <w:spacing w:before="0" w:after="0"/>
        <w:ind w:left="600" w:right="400"/>
      </w:pPr>
      <w:r>
        <w:rPr>
          <w:rFonts w:ascii="Courier New" w:cs="Courier New" w:eastAsia="Courier New" w:hAnsi="Courier New"/>
          <w:color w:val="1A3A5C"/>
          <w:sz w:val="19"/>
          <w:szCs w:val="19"/>
        </w:rPr>
        <w:t xml:space="preserve">  visits/</w:t>
      </w:r>
    </w:p>
    <w:p>
      <w:pPr>
        <w:shd w:fill="F0F4F8" w:val="clear"/>
        <w:spacing w:before="0" w:after="0"/>
        <w:ind w:left="600" w:right="400"/>
      </w:pPr>
      <w:r>
        <w:rPr>
          <w:rFonts w:ascii="Courier New" w:cs="Courier New" w:eastAsia="Courier New" w:hAnsi="Courier New"/>
          <w:color w:val="1A3A5C"/>
          <w:sz w:val="19"/>
          <w:szCs w:val="19"/>
        </w:rPr>
        <w:t xml:space="preserve">    desde/YYYY-MM-DD/[visitor_hash]   ← verified visit</w:t>
      </w:r>
    </w:p>
    <w:p>
      <w:pPr>
        <w:shd w:fill="F0F4F8" w:val="clear"/>
        <w:spacing w:before="0" w:after="0"/>
        <w:ind w:left="600" w:right="400"/>
      </w:pPr>
      <w:r>
        <w:rPr>
          <w:rFonts w:ascii="Courier New" w:cs="Courier New" w:eastAsia="Courier New" w:hAnsi="Courier New"/>
          <w:color w:val="1A3A5C"/>
          <w:sz w:val="19"/>
          <w:szCs w:val="19"/>
        </w:rPr>
        <w:t xml:space="preserve">  reviews/</w:t>
      </w:r>
    </w:p>
    <w:p>
      <w:pPr>
        <w:shd w:fill="F0F4F8" w:val="clear"/>
        <w:spacing w:before="0" w:after="0"/>
        <w:ind w:left="600" w:right="400"/>
      </w:pPr>
      <w:r>
        <w:rPr>
          <w:rFonts w:ascii="Courier New" w:cs="Courier New" w:eastAsia="Courier New" w:hAnsi="Courier New"/>
          <w:color w:val="1A3A5C"/>
          <w:sz w:val="19"/>
          <w:szCs w:val="19"/>
        </w:rPr>
        <w:t xml:space="preserve">    [review_id]/</w:t>
      </w:r>
    </w:p>
    <w:p>
      <w:pPr>
        <w:shd w:fill="F0F4F8" w:val="clear"/>
        <w:spacing w:before="0" w:after="0"/>
        <w:ind w:left="600" w:right="400"/>
      </w:pPr>
      <w:r>
        <w:rPr>
          <w:rFonts w:ascii="Courier New" w:cs="Courier New" w:eastAsia="Courier New" w:hAnsi="Courier New"/>
          <w:color w:val="1A3A5C"/>
          <w:sz w:val="19"/>
          <w:szCs w:val="19"/>
        </w:rPr>
        <w:t xml:space="preserve">      visit_ref                        ← reference to verified visit</w:t>
      </w:r>
    </w:p>
    <w:p>
      <w:pPr>
        <w:shd w:fill="F0F4F8" w:val="clear"/>
        <w:spacing w:before="0" w:after="0"/>
        <w:ind w:left="600" w:right="400"/>
      </w:pPr>
      <w:r>
        <w:rPr>
          <w:rFonts w:ascii="Courier New" w:cs="Courier New" w:eastAsia="Courier New" w:hAnsi="Courier New"/>
          <w:color w:val="1A3A5C"/>
          <w:sz w:val="19"/>
          <w:szCs w:val="19"/>
        </w:rPr>
        <w:t xml:space="preserve">      content_hash                     ← hash of review text</w:t>
      </w:r>
    </w:p>
    <w:p>
      <w:pPr>
        <w:shd w:fill="F0F4F8" w:val="clear"/>
        <w:spacing w:before="0" w:after="0"/>
        <w:ind w:left="600" w:right="400"/>
      </w:pPr>
      <w:r>
        <w:rPr>
          <w:rFonts w:ascii="Courier New" w:cs="Courier New" w:eastAsia="Courier New" w:hAnsi="Courier New"/>
          <w:color w:val="1A3A5C"/>
          <w:sz w:val="19"/>
          <w:szCs w:val="19"/>
        </w:rPr>
        <w:t xml:space="preserve">      rating</w:t>
      </w:r>
    </w:p>
    <w:p>
      <w:pPr>
        <w:shd w:fill="F0F4F8" w:val="clear"/>
        <w:spacing w:before="0" w:after="0"/>
        <w:ind w:left="600" w:right="400"/>
      </w:pPr>
      <w:r>
        <w:rPr>
          <w:rFonts w:ascii="Courier New" w:cs="Courier New" w:eastAsia="Courier New" w:hAnsi="Courier New"/>
          <w:color w:val="1A3A5C"/>
          <w:sz w:val="19"/>
          <w:szCs w:val="19"/>
        </w:rPr>
        <w:t xml:space="preserve">      dont-want-to-reveal/             ← optional private fields</w:t>
      </w:r>
    </w:p>
    <w:p>
      <w:pPr>
        <w:shd w:fill="F0F4F8" w:val="clear"/>
        <w:spacing w:before="0" w:after="0"/>
        <w:ind w:left="600" w:right="400"/>
      </w:pPr>
      <w:r>
        <w:rPr>
          <w:rFonts w:ascii="Courier New" w:cs="Courier New" w:eastAsia="Courier New" w:hAnsi="Courier New"/>
          <w:color w:val="1A3A5C"/>
          <w:sz w:val="19"/>
          <w:szCs w:val="19"/>
        </w:rPr>
        <w:t xml:space="preserve">  offers/</w:t>
      </w:r>
    </w:p>
    <w:p>
      <w:pPr>
        <w:shd w:fill="F0F4F8" w:val="clear"/>
        <w:spacing w:before="0" w:after="0"/>
        <w:ind w:left="600" w:right="400"/>
      </w:pPr>
      <w:r>
        <w:rPr>
          <w:rFonts w:ascii="Courier New" w:cs="Courier New" w:eastAsia="Courier New" w:hAnsi="Courier New"/>
          <w:color w:val="1A3A5C"/>
          <w:sz w:val="19"/>
          <w:szCs w:val="19"/>
        </w:rPr>
        <w:t xml:space="preserve">    [offer_id]/</w:t>
      </w:r>
    </w:p>
    <w:p>
      <w:pPr>
        <w:shd w:fill="F0F4F8" w:val="clear"/>
        <w:spacing w:before="0" w:after="0"/>
        <w:ind w:left="600" w:right="400"/>
      </w:pPr>
      <w:r>
        <w:rPr>
          <w:rFonts w:ascii="Courier New" w:cs="Courier New" w:eastAsia="Courier New" w:hAnsi="Courier New"/>
          <w:color w:val="1A3A5C"/>
          <w:sz w:val="19"/>
          <w:szCs w:val="19"/>
        </w:rPr>
        <w:t xml:space="preserve">      terms</w:t>
      </w:r>
    </w:p>
    <w:p>
      <w:pPr>
        <w:shd w:fill="F0F4F8" w:val="clear"/>
        <w:spacing w:before="0" w:after="0"/>
        <w:ind w:left="600" w:right="400"/>
      </w:pPr>
      <w:r>
        <w:rPr>
          <w:rFonts w:ascii="Courier New" w:cs="Courier New" w:eastAsia="Courier New" w:hAnsi="Courier New"/>
          <w:color w:val="1A3A5C"/>
          <w:sz w:val="19"/>
          <w:szCs w:val="19"/>
        </w:rPr>
        <w:t xml:space="preserve">      valid/desde/hasta/</w:t>
      </w:r>
    </w:p>
    <w:p>
      <w:pPr>
        <w:shd w:fill="F0F4F8" w:val="clear"/>
        <w:spacing w:before="0" w:after="0"/>
        <w:ind w:left="600" w:right="400"/>
      </w:pPr>
      <w:r>
        <w:rPr>
          <w:rFonts w:ascii="Courier New" w:cs="Courier New" w:eastAsia="Courier New" w:hAnsi="Courier New"/>
          <w:color w:val="1A3A5C"/>
          <w:sz w:val="19"/>
          <w:szCs w:val="19"/>
        </w:rPr>
        <w:t xml:space="preserve">      eligibility/</w:t>
      </w:r>
    </w:p>
    <w:p>
      <w:pPr>
        <w:shd w:fill="F0F4F8" w:val="clear"/>
        <w:spacing w:before="0" w:after="0"/>
        <w:ind w:left="600" w:right="400"/>
      </w:pPr>
      <w:r>
        <w:rPr>
          <w:rFonts w:ascii="Courier New" w:cs="Courier New" w:eastAsia="Courier New" w:hAnsi="Courier New"/>
          <w:color w:val="1A3A5C"/>
          <w:sz w:val="19"/>
          <w:szCs w:val="19"/>
        </w:rPr>
        <w:t xml:space="preserve">  reputation/</w:t>
      </w:r>
    </w:p>
    <w:p>
      <w:pPr>
        <w:shd w:fill="F0F4F8" w:val="clear"/>
        <w:spacing w:before="0" w:after="0"/>
        <w:ind w:left="600" w:right="400"/>
      </w:pPr>
      <w:r>
        <w:rPr>
          <w:rFonts w:ascii="Courier New" w:cs="Courier New" w:eastAsia="Courier New" w:hAnsi="Courier New"/>
          <w:color w:val="1A3A5C"/>
          <w:sz w:val="19"/>
          <w:szCs w:val="19"/>
        </w:rPr>
        <w:t xml:space="preserve">    [context]/</w:t>
      </w:r>
    </w:p>
    <w:p>
      <w:pPr>
        <w:shd w:fill="F0F4F8" w:val="clear"/>
        <w:spacing w:before="0" w:after="0"/>
        <w:ind w:left="600" w:right="400"/>
      </w:pPr>
      <w:r>
        <w:rPr>
          <w:rFonts w:ascii="Courier New" w:cs="Courier New" w:eastAsia="Courier New" w:hAnsi="Courier New"/>
          <w:color w:val="1A3A5C"/>
          <w:sz w:val="19"/>
          <w:szCs w:val="19"/>
        </w:rPr>
        <w:t xml:space="preserve">      score</w:t>
      </w:r>
    </w:p>
    <w:p>
      <w:pPr>
        <w:shd w:fill="F0F4F8" w:val="clear"/>
        <w:spacing w:before="0" w:after="0"/>
        <w:ind w:left="600" w:right="400"/>
      </w:pPr>
      <w:r>
        <w:rPr>
          <w:rFonts w:ascii="Courier New" w:cs="Courier New" w:eastAsia="Courier New" w:hAnsi="Courier New"/>
          <w:color w:val="1A3A5C"/>
          <w:sz w:val="19"/>
          <w:szCs w:val="19"/>
        </w:rPr>
        <w:t xml:space="preserve">      total_verified_visits</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D.2 The central property</w:t>
      </w:r>
    </w:p>
    <w:p>
      <w:pPr>
        <w:spacing w:before="80" w:after="160"/>
        <w:jc w:val="both"/>
      </w:pPr>
      <w:r>
        <w:rPr>
          <w:rFonts w:ascii="Arial" w:cs="Arial" w:eastAsia="Arial" w:hAnsi="Arial"/>
          <w:sz w:val="22"/>
          <w:szCs w:val="22"/>
        </w:rPr>
        <w:t xml:space="preserve">A review under transactions/trusteando/reviews/ is not an opinion — it is a graph edge connecting a verified node to a verified visit. The content may be subjective but the presence is objective. Any verifier can confirm that the reviewer was physically present. This destroys fake reviews not by moderation or detection algorithms — but by construction.</w:t>
      </w:r>
    </w:p>
    <w:p>
      <w:pPr>
        <w:pStyle w:val="Heading2"/>
        <w:spacing w:before="320" w:after="140"/>
      </w:pPr>
      <w:r>
        <w:rPr>
          <w:rFonts w:ascii="Arial" w:cs="Arial" w:eastAsia="Arial" w:hAnsi="Arial"/>
          <w:b/>
          <w:bCs/>
          <w:color w:val="2C3E7A"/>
          <w:sz w:val="26"/>
          <w:szCs w:val="26"/>
        </w:rPr>
        <w:t xml:space="preserve">D.3 Business layer methods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recordVisit(venue_url, visitor_url, proof)</w:t>
      </w:r>
    </w:p>
    <w:p>
      <w:pPr>
        <w:shd w:fill="F0F4F8" w:val="clear"/>
        <w:spacing w:before="0" w:after="0"/>
        <w:ind w:left="600" w:right="400"/>
      </w:pPr>
      <w:r>
        <w:rPr>
          <w:rFonts w:ascii="Courier New" w:cs="Courier New" w:eastAsia="Courier New" w:hAnsi="Courier New"/>
          <w:color w:val="1A3A5C"/>
          <w:sz w:val="19"/>
          <w:szCs w:val="19"/>
        </w:rPr>
        <w:t xml:space="preserve">publishReview(venue_url, visit_ref, content, rating)</w:t>
      </w:r>
    </w:p>
    <w:p>
      <w:pPr>
        <w:shd w:fill="F0F4F8" w:val="clear"/>
        <w:spacing w:before="0" w:after="0"/>
        <w:ind w:left="600" w:right="400"/>
      </w:pPr>
      <w:r>
        <w:rPr>
          <w:rFonts w:ascii="Courier New" w:cs="Courier New" w:eastAsia="Courier New" w:hAnsi="Courier New"/>
          <w:color w:val="1A3A5C"/>
          <w:sz w:val="19"/>
          <w:szCs w:val="19"/>
        </w:rPr>
        <w:t xml:space="preserve">getReputation(url, context)</w:t>
      </w:r>
    </w:p>
    <w:p>
      <w:pPr>
        <w:shd w:fill="F0F4F8" w:val="clear"/>
        <w:spacing w:before="0" w:after="0"/>
        <w:ind w:left="600" w:right="400"/>
      </w:pPr>
      <w:r>
        <w:rPr>
          <w:rFonts w:ascii="Courier New" w:cs="Courier New" w:eastAsia="Courier New" w:hAnsi="Courier New"/>
          <w:color w:val="1A3A5C"/>
          <w:sz w:val="19"/>
          <w:szCs w:val="19"/>
        </w:rPr>
        <w:t xml:space="preserve">publishOffer(terms, valid_from, valid_until, eligibility)</w:t>
      </w:r>
    </w:p>
    <w:p>
      <w:pPr>
        <w:shd w:fill="F0F4F8" w:val="clear"/>
        <w:spacing w:before="0" w:after="0"/>
        <w:ind w:left="600" w:right="400"/>
      </w:pPr>
      <w:r>
        <w:rPr>
          <w:rFonts w:ascii="Courier New" w:cs="Courier New" w:eastAsia="Courier New" w:hAnsi="Courier New"/>
          <w:color w:val="1A3A5C"/>
          <w:sz w:val="19"/>
          <w:szCs w:val="19"/>
        </w:rPr>
        <w:t xml:space="preserve">acceptOffer(offer_id, subject_url)</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Why URLs and not DIDs or W3C Verifiable Credentials?</w:t>
      </w:r>
    </w:p>
    <w:p>
      <w:pPr>
        <w:spacing w:before="80" w:after="160"/>
        <w:jc w:val="both"/>
      </w:pPr>
      <w:r>
        <w:rPr>
          <w:rFonts w:ascii="Arial" w:cs="Arial" w:eastAsia="Arial" w:hAnsi="Arial"/>
          <w:sz w:val="22"/>
          <w:szCs w:val="22"/>
        </w:rPr>
        <w:t xml:space="preserve">DIDs require additional infrastructure — blockchain registries, specific DID methods — and are not anchored in any pre-existing real presence. W3C Verifiable Credentials define the document format but not the trust system or how issuer authority is established. Trusteando uses URLs because entities already exist with their own URLs — no new infrastructure is needed to identify them. The URL is the identity, not a pointer to it.</w:t>
      </w:r>
    </w:p>
    <w:p>
      <w:pPr>
        <w:pStyle w:val="Heading2"/>
        <w:spacing w:before="320" w:after="140"/>
      </w:pPr>
      <w:r>
        <w:rPr>
          <w:rFonts w:ascii="Arial" w:cs="Arial" w:eastAsia="Arial" w:hAnsi="Arial"/>
          <w:b/>
          <w:bCs/>
          <w:color w:val="2C3E7A"/>
          <w:sz w:val="26"/>
          <w:szCs w:val="26"/>
        </w:rPr>
        <w:t xml:space="preserve">Can anyone create a node?</w:t>
      </w:r>
    </w:p>
    <w:p>
      <w:pPr>
        <w:spacing w:before="80" w:after="160"/>
        <w:jc w:val="both"/>
      </w:pPr>
      <w:r>
        <w:rPr>
          <w:rFonts w:ascii="Arial" w:cs="Arial" w:eastAsia="Arial" w:hAnsi="Arial"/>
          <w:sz w:val="22"/>
          <w:szCs w:val="22"/>
        </w:rPr>
        <w:t xml:space="preserve">Yes. Any entity with a URL can publish its identity space following the protocol without permission from anyone. This creates a level-1 node — declared identity, verifiable by context. Reaching level 2 — recognised identity, cryptographically verifiable by unknown third parties — requires recognition from the root or another sufficiently trusted node.</w:t>
      </w:r>
    </w:p>
    <w:p>
      <w:pPr>
        <w:pStyle w:val="Heading2"/>
        <w:spacing w:before="320" w:after="140"/>
      </w:pPr>
      <w:r>
        <w:rPr>
          <w:rFonts w:ascii="Arial" w:cs="Arial" w:eastAsia="Arial" w:hAnsi="Arial"/>
          <w:b/>
          <w:bCs/>
          <w:color w:val="2C3E7A"/>
          <w:sz w:val="26"/>
          <w:szCs w:val="26"/>
        </w:rPr>
        <w:t xml:space="preserve">What is the difference from PGP Web of Trust?</w:t>
      </w:r>
    </w:p>
    <w:p>
      <w:pPr>
        <w:spacing w:before="80" w:after="160"/>
        <w:jc w:val="both"/>
      </w:pPr>
      <w:r>
        <w:rPr>
          <w:rFonts w:ascii="Arial" w:cs="Arial" w:eastAsia="Arial" w:hAnsi="Arial"/>
          <w:sz w:val="22"/>
          <w:szCs w:val="22"/>
        </w:rPr>
        <w:t xml:space="preserve">PGP Web of Trust is a network of signatures between people where trust propagates through acquaintances. It has no hierarchical structure, is not anchored in public URLs, has no verifiable temporal dimension, and does not distinguish between relation types. Trusteado is a structured Knowledge Graph where entities are nodes with their own URLs, relations have explicit semantics expressed in folder structure, and the complete history is auditable. PGP proves that someone knows someone. Trusteado proves what each entity is and since when.</w:t>
      </w:r>
    </w:p>
    <w:p>
      <w:pPr>
        <w:pStyle w:val="Heading2"/>
        <w:spacing w:before="320" w:after="140"/>
      </w:pPr>
      <w:r>
        <w:rPr>
          <w:rFonts w:ascii="Arial" w:cs="Arial" w:eastAsia="Arial" w:hAnsi="Arial"/>
          <w:b/>
          <w:bCs/>
          <w:color w:val="2C3E7A"/>
          <w:sz w:val="26"/>
          <w:szCs w:val="26"/>
        </w:rPr>
        <w:t xml:space="preserve">Is the Trusteado root a centralised point of control?</w:t>
      </w:r>
    </w:p>
    <w:p>
      <w:pPr>
        <w:spacing w:before="80" w:after="160"/>
        <w:jc w:val="both"/>
      </w:pPr>
      <w:r>
        <w:rPr>
          <w:rFonts w:ascii="Arial" w:cs="Arial" w:eastAsia="Arial" w:hAnsi="Arial"/>
          <w:sz w:val="22"/>
          <w:szCs w:val="22"/>
        </w:rPr>
        <w:t xml:space="preserve">The root is the bootstrap node with the greatest initial reputation. It holds no state — it only executes algorithmic verifications on information that entities themselves publish. If it falls, any high-reputation node can perform the same verifications because the algorithm is public. The root is necessary to start the system — not for it to function once established.</w:t>
      </w:r>
    </w:p>
    <w:p>
      <w:pPr>
        <w:pStyle w:val="Heading2"/>
        <w:spacing w:before="320" w:after="140"/>
      </w:pPr>
      <w:r>
        <w:rPr>
          <w:rFonts w:ascii="Arial" w:cs="Arial" w:eastAsia="Arial" w:hAnsi="Arial"/>
          <w:b/>
          <w:bCs/>
          <w:color w:val="2C3E7A"/>
          <w:sz w:val="26"/>
          <w:szCs w:val="26"/>
        </w:rPr>
        <w:t xml:space="preserve">How does Trusteado relate to eIDAS?</w:t>
      </w:r>
    </w:p>
    <w:p>
      <w:pPr>
        <w:spacing w:before="80" w:after="160"/>
        <w:jc w:val="both"/>
      </w:pPr>
      <w:r>
        <w:rPr>
          <w:rFonts w:ascii="Arial" w:cs="Arial" w:eastAsia="Arial" w:hAnsi="Arial"/>
          <w:sz w:val="22"/>
          <w:szCs w:val="22"/>
        </w:rPr>
        <w:t xml:space="preserve">eIDAS is the European digital identity regulation — it defines the legal requirements for an electronic signature to have legal validity. Trusteado establishes the cryptographic evidence; eIDAS gives it legal force in European jurisdictions. They are complementary. A Trusteado node backed by an eIDAS-recognised entity inherits its legal validity automatically.</w:t>
      </w:r>
    </w:p>
    <w:p>
      <w:pPr>
        <w:pBdr>
          <w:bottom w:val="single" w:color="CCCCCC" w:sz="3" w:space="1"/>
        </w:pBdr>
        <w:spacing w:before="280" w:after="280"/>
      </w:pPr>
    </w:p>
    <w:p>
      <w:pPr>
        <w:pStyle w:val="Heading1"/>
        <w:spacing w:before="480" w:after="200"/>
      </w:pPr>
      <w:r>
        <w:rPr>
          <w:rFonts w:ascii="Arial" w:cs="Arial" w:eastAsia="Arial" w:hAnsi="Arial"/>
          <w:b/>
          <w:bCs/>
          <w:color w:val="1A1A2E"/>
          <w:sz w:val="34"/>
          <w:szCs w:val="34"/>
        </w:rPr>
        <w:t xml:space="preserve">Appendix E — Intentionality Dictionary — inspiration from web mechanisms</w:t>
      </w:r>
    </w:p>
    <w:p>
      <w:pPr>
        <w:spacing w:before="80" w:after="160"/>
        <w:jc w:val="both"/>
      </w:pPr>
      <w:r>
        <w:rPr>
          <w:rFonts w:ascii="Arial" w:cs="Arial" w:eastAsia="Arial" w:hAnsi="Arial"/>
          <w:sz w:val="22"/>
          <w:szCs w:val="22"/>
        </w:rPr>
        <w:t xml:space="preserve">Trusteando takes inspiration from established web mechanisms. The dictionary below helps understand the intentionality of each folder — it does not imply technical equivalence or direct compatibility. Where the web solved similar problems, Trusteado adds cryptographic signatures, identity semantics, and public verifiability.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c>
          <w:tcPr>
            <w:tcW w:type="dxa" w:w="2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Trusteado</w:t>
            </w:r>
          </w:p>
        </w:tc>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Inspired by</w:t>
            </w:r>
          </w:p>
        </w:tc>
        <w:tc>
          <w:tcPr>
            <w:tcW w:type="dxa" w:w="4226"/>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difference</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trusteado/redirect/</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HTTP 301/302</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Signed, part of the identity graph, with date and historical chain</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trusteado/notifications/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HTTP headers / ETag</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Declarative in folder, verifiable, no header negotiation</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notifications/changelog/</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RSS / Atom</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 feed server — direct pull over public folders</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trusteado/routing/</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robots.txt / CORS</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Signed authorisation semantics, GDPR-compatible</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trusteado/registry/</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sitemap.xml</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With cryptographic signatures and credential semantics</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calculated/</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Cache / ETag</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Publicly auditable with checkIndex() — not just for performance</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externals/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&lt;a href&gt; external link</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Explicitly declares lack of control over destination</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routing/processors/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GDPR processing register</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Cryptographically verifiable, not just declarative</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dont-want-to-reveal/</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 (no equivalent)</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Contextual privacy with selective disclosure — does not exist on the web</w:t>
            </w:r>
          </w:p>
        </w:tc>
      </w:tr>
    </w:tbl>
    <w:p>
      <w:pPr>
        <w:spacing w:before="160" w:after="0"/>
      </w:pPr>
    </w:p>
    <w:p>
      <w:pPr>
        <w:spacing w:before="80" w:after="160"/>
        <w:jc w:val="both"/>
      </w:pPr>
      <w:r>
        <w:rPr>
          <w:rFonts w:ascii="Arial" w:cs="Arial" w:eastAsia="Arial" w:hAnsi="Arial"/>
          <w:sz w:val="22"/>
          <w:szCs w:val="22"/>
        </w:rPr>
        <w:t xml:space="preserve">The trusteado/redirect/ folder deserves special mention. Unlike an HTTP 301, a Trusteado redirect is a signed declaration of identity migration — with a date, a reference to the emergency key used, and forming part of the node's historical graph. It is not just a technical routing instruction but a verifiable fact with the same guarantees as any other protocol credential.</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trusteado/redirect/</w:t>
      </w:r>
    </w:p>
    <w:p>
      <w:pPr>
        <w:shd w:fill="F0F4F8" w:val="clear"/>
        <w:spacing w:before="0" w:after="0"/>
        <w:ind w:left="600" w:right="400"/>
      </w:pPr>
      <w:r>
        <w:rPr>
          <w:rFonts w:ascii="Courier New" w:cs="Courier New" w:eastAsia="Courier New" w:hAnsi="Courier New"/>
          <w:color w:val="1A3A5C"/>
          <w:sz w:val="19"/>
          <w:szCs w:val="19"/>
        </w:rPr>
        <w:t xml:space="preserve">  target          ← destination URL (new identity)</w:t>
      </w:r>
    </w:p>
    <w:p>
      <w:pPr>
        <w:shd w:fill="F0F4F8" w:val="clear"/>
        <w:spacing w:before="0" w:after="0"/>
        <w:ind w:left="600" w:right="400"/>
      </w:pPr>
      <w:r>
        <w:rPr>
          <w:rFonts w:ascii="Courier New" w:cs="Courier New" w:eastAsia="Courier New" w:hAnsi="Courier New"/>
          <w:color w:val="1A3A5C"/>
          <w:sz w:val="19"/>
          <w:szCs w:val="19"/>
        </w:rPr>
        <w:t xml:space="preserve">  permanent       ← bool — definitive or temporary migration</w:t>
      </w:r>
    </w:p>
    <w:p>
      <w:pPr>
        <w:shd w:fill="F0F4F8" w:val="clear"/>
        <w:spacing w:before="0" w:after="0"/>
        <w:ind w:left="600" w:right="400"/>
      </w:pPr>
      <w:r>
        <w:rPr>
          <w:rFonts w:ascii="Courier New" w:cs="Courier New" w:eastAsia="Courier New" w:hAnsi="Courier New"/>
          <w:color w:val="1A3A5C"/>
          <w:sz w:val="19"/>
          <w:szCs w:val="19"/>
        </w:rPr>
        <w:t xml:space="preserve">  since           ← date of migration</w:t>
      </w:r>
    </w:p>
    <w:p>
      <w:pPr>
        <w:shd w:fill="F0F4F8" w:val="clear"/>
        <w:spacing w:before="0" w:after="0"/>
        <w:ind w:left="600" w:right="400"/>
      </w:pPr>
      <w:r>
        <w:rPr>
          <w:rFonts w:ascii="Courier New" w:cs="Courier New" w:eastAsia="Courier New" w:hAnsi="Courier New"/>
          <w:color w:val="1A3A5C"/>
          <w:sz w:val="19"/>
          <w:szCs w:val="19"/>
        </w:rPr>
        <w:t xml:space="preserve">  migration_ref   ← reference to migration process in old_identities/</w:t>
      </w:r>
    </w:p>
    <w:p>
      <w:pPr>
        <w:shd w:fill="F0F4F8" w:val="clear"/>
        <w:spacing w:before="0" w:after="120"/>
        <w:ind w:left="400" w:right="400"/>
      </w:pPr>
    </w:p>
    <w:p>
      <w:pPr>
        <w:pBdr>
          <w:bottom w:val="single" w:color="CCCCCC" w:sz="3" w:space="1"/>
        </w:pBdr>
        <w:spacing w:before="280" w:after="280"/>
      </w:pPr>
    </w:p>
    <w:p>
      <w:pPr>
        <w:pStyle w:val="Heading1"/>
        <w:spacing w:before="480" w:after="200"/>
      </w:pPr>
      <w:r>
        <w:rPr>
          <w:rFonts w:ascii="Arial" w:cs="Arial" w:eastAsia="Arial" w:hAnsi="Arial"/>
          <w:b/>
          <w:bCs/>
          <w:color w:val="1A1A2E"/>
          <w:sz w:val="34"/>
          <w:szCs w:val="34"/>
        </w:rPr>
        <w:t xml:space="preserve">References</w:t>
      </w:r>
    </w:p>
    <w:p>
      <w:pPr>
        <w:pStyle w:val="ListParagraph"/>
        <w:numPr>
          <w:ilvl w:val="0"/>
          <w:numId w:val="2"/>
        </w:numPr>
        <w:spacing w:before="60" w:after="60"/>
      </w:pPr>
      <w:r>
        <w:rPr>
          <w:rFonts w:ascii="Arial" w:cs="Arial" w:eastAsia="Arial" w:hAnsi="Arial"/>
          <w:sz w:val="22"/>
          <w:szCs w:val="22"/>
        </w:rPr>
        <w:t xml:space="preserve">ECDH — Elliptic Curve Diffie-Hellman: RFC 7748, Bernstein et al., 2016</w:t>
      </w:r>
    </w:p>
    <w:p>
      <w:pPr>
        <w:pStyle w:val="ListParagraph"/>
        <w:numPr>
          <w:ilvl w:val="0"/>
          <w:numId w:val="2"/>
        </w:numPr>
        <w:spacing w:before="60" w:after="60"/>
      </w:pPr>
      <w:r>
        <w:rPr>
          <w:rFonts w:ascii="Arial" w:cs="Arial" w:eastAsia="Arial" w:hAnsi="Arial"/>
          <w:sz w:val="22"/>
          <w:szCs w:val="22"/>
        </w:rPr>
        <w:t xml:space="preserve">HMAC — Hash-based Message Authentication Code: RFC 2104, Krawczyk et al., 1997</w:t>
      </w:r>
    </w:p>
    <w:p>
      <w:pPr>
        <w:pStyle w:val="ListParagraph"/>
        <w:numPr>
          <w:ilvl w:val="0"/>
          <w:numId w:val="2"/>
        </w:numPr>
        <w:spacing w:before="60" w:after="60"/>
      </w:pPr>
      <w:r>
        <w:rPr>
          <w:rFonts w:ascii="Arial" w:cs="Arial" w:eastAsia="Arial" w:hAnsi="Arial"/>
          <w:sz w:val="22"/>
          <w:szCs w:val="22"/>
        </w:rPr>
        <w:t xml:space="preserve">SHA-256 — Secure Hash Algorithm: FIPS PUB 180-4, NIST, 2015</w:t>
      </w:r>
    </w:p>
    <w:p>
      <w:pPr>
        <w:pStyle w:val="ListParagraph"/>
        <w:numPr>
          <w:ilvl w:val="0"/>
          <w:numId w:val="2"/>
        </w:numPr>
        <w:spacing w:before="60" w:after="60"/>
      </w:pPr>
      <w:r>
        <w:rPr>
          <w:rFonts w:ascii="Arial" w:cs="Arial" w:eastAsia="Arial" w:hAnsi="Arial"/>
          <w:sz w:val="22"/>
          <w:szCs w:val="22"/>
        </w:rPr>
        <w:t xml:space="preserve">W3C Verifiable Credentials Data Model: W3C Recommendation, 2022</w:t>
      </w:r>
    </w:p>
    <w:p>
      <w:pPr>
        <w:pStyle w:val="ListParagraph"/>
        <w:numPr>
          <w:ilvl w:val="0"/>
          <w:numId w:val="2"/>
        </w:numPr>
        <w:spacing w:before="60" w:after="60"/>
      </w:pPr>
      <w:r>
        <w:rPr>
          <w:rFonts w:ascii="Arial" w:cs="Arial" w:eastAsia="Arial" w:hAnsi="Arial"/>
          <w:sz w:val="22"/>
          <w:szCs w:val="22"/>
        </w:rPr>
        <w:t xml:space="preserve">W3C Decentralised Identifiers (DIDs): W3C Recommendation, 2022</w:t>
      </w:r>
    </w:p>
    <w:p>
      <w:pPr>
        <w:pStyle w:val="ListParagraph"/>
        <w:numPr>
          <w:ilvl w:val="0"/>
          <w:numId w:val="2"/>
        </w:numPr>
        <w:spacing w:before="60" w:after="60"/>
      </w:pPr>
      <w:r>
        <w:rPr>
          <w:rFonts w:ascii="Arial" w:cs="Arial" w:eastAsia="Arial" w:hAnsi="Arial"/>
          <w:sz w:val="22"/>
          <w:szCs w:val="22"/>
        </w:rPr>
        <w:t xml:space="preserve">TLS 1.3 — Transport Layer Security: RFC 8446, Rescorla, 2018</w:t>
      </w:r>
    </w:p>
    <w:p>
      <w:pPr>
        <w:pStyle w:val="ListParagraph"/>
        <w:numPr>
          <w:ilvl w:val="0"/>
          <w:numId w:val="2"/>
        </w:numPr>
        <w:spacing w:before="60" w:after="60"/>
      </w:pPr>
      <w:r>
        <w:rPr>
          <w:rFonts w:ascii="Arial" w:cs="Arial" w:eastAsia="Arial" w:hAnsi="Arial"/>
          <w:sz w:val="22"/>
          <w:szCs w:val="22"/>
        </w:rPr>
        <w:t xml:space="preserve">eIDAS — Regulation (EU) 910/2014 on electronic identification, 2014</w:t>
      </w:r>
    </w:p>
    <w:p>
      <w:pPr>
        <w:pStyle w:val="ListParagraph"/>
        <w:numPr>
          <w:ilvl w:val="0"/>
          <w:numId w:val="2"/>
        </w:numPr>
        <w:spacing w:before="60" w:after="60"/>
      </w:pPr>
      <w:r>
        <w:rPr>
          <w:rFonts w:ascii="Arial" w:cs="Arial" w:eastAsia="Arial" w:hAnsi="Arial"/>
          <w:sz w:val="22"/>
          <w:szCs w:val="22"/>
        </w:rPr>
        <w:t xml:space="preserve">GNU General Public License v3: Free Software Foundation, 2007</w:t>
      </w:r>
    </w:p>
    <w:p>
      <w:pPr>
        <w:pBdr>
          <w:bottom w:val="single" w:color="CCCCCC" w:sz="3" w:space="1"/>
        </w:pBdr>
        <w:spacing w:before="280" w:after="280"/>
      </w:pPr>
    </w:p>
    <w:p>
      <w:pPr>
        <w:spacing w:before="300" w:after="80"/>
        <w:jc w:val="center"/>
      </w:pPr>
      <w:r>
        <w:rPr>
          <w:rFonts w:ascii="Arial" w:cs="Arial" w:eastAsia="Arial" w:hAnsi="Arial"/>
          <w:i/>
          <w:iCs/>
          <w:color w:val="555555"/>
          <w:sz w:val="20"/>
          <w:szCs w:val="20"/>
        </w:rPr>
        <w:t xml:space="preserve">Author: confidencenode.org/members/confidencenode0  —  confidencenode.org/protocolos/trusteando</w:t>
      </w:r>
    </w:p>
    <w:p>
      <w:pPr>
        <w:spacing w:before="0" w:after="80"/>
        <w:jc w:val="center"/>
      </w:pPr>
      <w:r>
        <w:rPr>
          <w:rFonts w:ascii="Arial" w:cs="Arial" w:eastAsia="Arial" w:hAnsi="Arial"/>
          <w:i/>
          <w:iCs/>
          <w:color w:val="555555"/>
          <w:sz w:val="20"/>
          <w:szCs w:val="20"/>
        </w:rPr>
        <w:t xml:space="preserve">March 18, 2026  —  v0.1  —  ConfidenceNode  —  confidencenode.org</w:t>
      </w:r>
    </w:p>
    <w:p>
      <w:pPr>
        <w:spacing w:before="0" w:after="80"/>
        <w:jc w:val="center"/>
      </w:pPr>
      <w:r>
        <w:rPr>
          <w:rFonts w:ascii="Arial" w:cs="Arial" w:eastAsia="Arial" w:hAnsi="Arial"/>
          <w:i/>
          <w:iCs/>
          <w:color w:val="555555"/>
          <w:sz w:val="20"/>
          <w:szCs w:val="20"/>
        </w:rPr>
        <w:t xml:space="preserve">Trusteando is free software licensed under GNU GPL v3.</w:t>
      </w:r>
    </w:p>
    <w:p>
      <w:pPr>
        <w:spacing w:before="0" w:after="0"/>
        <w:jc w:val="center"/>
      </w:pPr>
      <w:r>
        <w:rPr>
          <w:rFonts w:ascii="Arial" w:cs="Arial" w:eastAsia="Arial" w:hAnsi="Arial"/>
          <w:i/>
          <w:iCs/>
          <w:color w:val="555555"/>
          <w:sz w:val="20"/>
          <w:szCs w:val="20"/>
        </w:rPr>
        <w:t xml:space="preserve">The protocol is open. Anyone may implement it, verify it, and build upon it.</w:t>
      </w:r>
    </w:p>
    <w:p>
      <w:pPr>
        <w:spacing w:before="80" w:after="0"/>
        <w:jc w:val="center"/>
      </w:pP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Trusteando Protocol — Whitepaper v0.1 — March 18, 2026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1A2E"/>
      <w:sz w:val="34"/>
      <w:szCs w:val="34"/>
    </w:rPr>
  </w:style>
  <w:style w:type="paragraph" w:styleId="Heading2">
    <w:name w:val="Heading 2"/>
    <w:basedOn w:val="Normal"/>
    <w:next w:val="Normal"/>
    <w:qFormat/>
    <w:pPr>
      <w:spacing w:before="320" w:after="140"/>
      <w:outlineLvl w:val="1"/>
    </w:pPr>
    <w:rPr>
      <w:rFonts w:ascii="Arial" w:cs="Arial" w:eastAsia="Arial" w:hAnsi="Arial"/>
      <w:b/>
      <w:bCs/>
      <w:color w:val="2C3E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2026-03-17T15:57:05.875Z</dcterms:created>
  <dcterms:modified xsi:type="dcterms:W3CDTF">2026-03-17T15:57:05.876Z</dcterms:modified>
</cp:coreProperties>
</file>

<file path=docProps/custom.xml><?xml version="1.0" encoding="utf-8"?>
<Properties xmlns="http://schemas.openxmlformats.org/officeDocument/2006/custom-properties" xmlns:vt="http://schemas.openxmlformats.org/officeDocument/2006/docPropsVTypes"/>
</file>