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b/>
          <w:bCs/>
          <w:color w:val="1B2A4A"/>
          <w:sz w:val="64"/>
          <w:szCs w:val="64"/>
        </w:rPr>
        <w:t xml:space="preserve">ConfidenceNode Protocol</w:t>
      </w:r>
    </w:p>
    <w:p>
      <w:pPr>
        <w:spacing w:before="0" w:after="400"/>
        <w:jc w:val="center"/>
      </w:pPr>
      <w:r>
        <w:rPr>
          <w:rFonts w:ascii="Arial" w:cs="Arial" w:eastAsia="Arial" w:hAnsi="Arial"/>
          <w:color w:val="2E5FA3"/>
          <w:sz w:val="32"/>
          <w:szCs w:val="32"/>
        </w:rPr>
        <w:t xml:space="preserve">A Trust Framework for Collaborative Estimation</w:t>
      </w:r>
    </w:p>
    <w:p>
      <w:pPr>
        <w:spacing w:before="0" w:after="80"/>
        <w:jc w:val="center"/>
      </w:pPr>
      <w:r>
        <w:rPr>
          <w:rFonts w:ascii="Arial" w:cs="Arial" w:eastAsia="Arial" w:hAnsi="Arial"/>
          <w:color w:val="2E5FA3"/>
          <w:sz w:val="32"/>
          <w:szCs w:val="32"/>
        </w:rPr>
        <w:t xml:space="preserve">Under Information Asymmetry</w:t>
      </w:r>
    </w:p>
    <w:p>
      <w:pPr>
        <w:spacing w:before="600" w:after="0"/>
      </w:pPr>
    </w:p>
    <w:p>
      <w:pPr>
        <w:spacing w:before="0" w:after="60"/>
        <w:jc w:val="center"/>
      </w:pPr>
      <w:r>
        <w:rPr>
          <w:rFonts w:ascii="Arial" w:cs="Arial" w:eastAsia="Arial" w:hAnsi="Arial"/>
          <w:i/>
          <w:iCs/>
          <w:color w:val="888888"/>
          <w:sz w:val="20"/>
          <w:szCs w:val="20"/>
        </w:rPr>
        <w:t xml:space="preserve">Version 0.1 — Draft for Public Comment</w:t>
      </w:r>
    </w:p>
    <w:p>
      <w:pPr>
        <w:spacing w:before="0" w:after="60"/>
        <w:jc w:val="center"/>
      </w:pPr>
      <w:r>
        <w:rPr>
          <w:rFonts w:ascii="Arial" w:cs="Arial" w:eastAsia="Arial" w:hAnsi="Arial"/>
          <w:color w:val="888888"/>
          <w:sz w:val="20"/>
          <w:szCs w:val="20"/>
        </w:rPr>
        <w:t xml:space="preserve">March 2026</w:t>
      </w:r>
    </w:p>
    <w:p>
      <w:pPr>
        <w:spacing w:before="0" w:after="60"/>
        <w:jc w:val="center"/>
      </w:pPr>
      <w:r>
        <w:rPr>
          <w:rFonts w:ascii="Arial" w:cs="Arial" w:eastAsia="Arial" w:hAnsi="Arial"/>
          <w:color w:val="4A7FC1"/>
          <w:sz w:val="20"/>
          <w:szCs w:val="20"/>
        </w:rPr>
        <w:t xml:space="preserve">confidencenode.org</w:t>
      </w:r>
    </w:p>
    <w:p>
      <w:pPr>
        <w:spacing w:before="800" w:after="0"/>
      </w:pPr>
    </w:p>
    <w:p>
      <w:pPr>
        <w:spacing w:before="0" w:after="60"/>
        <w:jc w:val="center"/>
      </w:pPr>
      <w:r>
        <w:rPr>
          <w:rFonts w:ascii="Arial" w:cs="Arial" w:eastAsia="Arial" w:hAnsi="Arial"/>
          <w:color w:val="888888"/>
          <w:sz w:val="18"/>
          <w:szCs w:val="18"/>
        </w:rPr>
        <w:t xml:space="preserve">Reference implementation: ctx-v2 (GPL v3)</w:t>
      </w:r>
    </w:p>
    <w:p>
      <w:pPr>
        <w:spacing w:before="0" w:after="0"/>
        <w:jc w:val="center"/>
      </w:pPr>
      <w:r>
        <w:rPr>
          <w:rFonts w:ascii="Arial" w:cs="Arial" w:eastAsia="Arial" w:hAnsi="Arial"/>
          <w:color w:val="4A7FC1"/>
          <w:sz w:val="18"/>
          <w:szCs w:val="18"/>
        </w:rPr>
        <w:t xml:space="preserve">github.com/confidencenode/ctx-v2</w:t>
      </w:r>
    </w:p>
    <w:p>
      <w:pPr>
        <w:pageBreakBefore/>
      </w:pPr>
    </w:p>
    <w:p>
      <w:pPr>
        <w:pStyle w:val="Heading1"/>
        <w:pBdr>
          <w:bottom w:val="single" w:color="2E5FA3" w:sz="6" w:space="6"/>
        </w:pBdr>
        <w:spacing w:before="400" w:after="160"/>
      </w:pPr>
      <w:r>
        <w:rPr>
          <w:rFonts w:ascii="Arial" w:cs="Arial" w:eastAsia="Arial" w:hAnsi="Arial"/>
          <w:b/>
          <w:bCs/>
          <w:color w:val="1B2A4A"/>
          <w:sz w:val="36"/>
          <w:szCs w:val="36"/>
        </w:rPr>
        <w:t xml:space="preserve">Abstract</w:t>
      </w:r>
    </w:p>
    <w:p>
      <w:pPr>
        <w:spacing w:before="80" w:after="120"/>
        <w:jc w:val="both"/>
      </w:pPr>
      <w:r>
        <w:rPr>
          <w:rFonts w:ascii="Arial" w:cs="Arial" w:eastAsia="Arial" w:hAnsi="Arial"/>
          <w:b w:val="false"/>
          <w:bCs w:val="false"/>
          <w:i w:val="false"/>
          <w:iCs w:val="false"/>
          <w:color w:val="1B2A4A"/>
          <w:sz w:val="22"/>
          <w:szCs w:val="22"/>
        </w:rPr>
        <w:t xml:space="preserve">Software estimation is systematically dishonest — not because engineers lie, but because the incentive structure punishes honesty. When estimates are used as performance targets, rational agents optimize for safety over accuracy. The result is planning built on noise.</w:t>
      </w:r>
    </w:p>
    <w:p>
      <w:pPr>
        <w:spacing w:before="80" w:after="120"/>
        <w:jc w:val="both"/>
      </w:pPr>
      <w:r>
        <w:rPr>
          <w:rFonts w:ascii="Arial" w:cs="Arial" w:eastAsia="Arial" w:hAnsi="Arial"/>
          <w:b w:val="false"/>
          <w:bCs w:val="false"/>
          <w:i w:val="false"/>
          <w:iCs w:val="false"/>
          <w:color w:val="1B2A4A"/>
          <w:sz w:val="22"/>
          <w:szCs w:val="22"/>
        </w:rPr>
        <w:t xml:space="preserve">The ConfidenceNode Protocol addresses the root cause: information asymmetry between agents and the organizations that employ them. The protocol defines a three-layer framework — a Bayesian homeostatic model that builds latent agent profiles from observed behavior; a local encrypted vault that keeps those profiles opaque to employers; and a certification authority (ConfidenceNode0) that signs organizational commitments to not exploit the information implicitly generated by the system.</w:t>
      </w:r>
    </w:p>
    <w:p>
      <w:pPr>
        <w:spacing w:before="80" w:after="120"/>
        <w:jc w:val="both"/>
      </w:pPr>
      <w:r>
        <w:rPr>
          <w:rFonts w:ascii="Arial" w:cs="Arial" w:eastAsia="Arial" w:hAnsi="Arial"/>
          <w:b w:val="false"/>
          <w:bCs w:val="false"/>
          <w:i w:val="false"/>
          <w:iCs w:val="false"/>
          <w:color w:val="1B2A4A"/>
          <w:sz w:val="22"/>
          <w:szCs w:val="22"/>
        </w:rPr>
        <w:t xml:space="preserve">The reference implementation is ctx-v2, an open-source CLI tool released under GPL v3. The GPL license acts as a technical CORS barrier: organizations cannot extract agent data through proprietary pipes without violating the license. The certification seal acts as a public commitment that is both reputationally costly to violate and economically rational to maintain.</w:t>
      </w:r>
    </w:p>
    <w:p>
      <w:pPr>
        <w:spacing w:before="80" w:after="120"/>
        <w:jc w:val="both"/>
      </w:pPr>
      <w:r>
        <w:rPr>
          <w:rFonts w:ascii="Arial" w:cs="Arial" w:eastAsia="Arial" w:hAnsi="Arial"/>
          <w:b w:val="false"/>
          <w:bCs w:val="false"/>
          <w:i w:val="false"/>
          <w:iCs w:val="false"/>
          <w:color w:val="1B2A4A"/>
          <w:sz w:val="22"/>
          <w:szCs w:val="22"/>
        </w:rPr>
        <w:t xml:space="preserve">This document describes the protocol, its enforcement mechanisms, its governance model, and its application to domains beyond software engineering.</w:t>
      </w:r>
    </w:p>
    <w:p>
      <w:pPr>
        <w:pBdr>
          <w:bottom w:val="single" w:color="CCCCCC" w:sz="4" w:space="1"/>
        </w:pBdr>
        <w:spacing w:before="200" w:after="200"/>
      </w:pPr>
      <w:r>
        <w:t xml:space="preserve"/>
      </w:r>
    </w:p>
    <w:p>
      <w:pPr>
        <w:pStyle w:val="Heading1"/>
        <w:pBdr>
          <w:bottom w:val="single" w:color="2E5FA3" w:sz="6" w:space="6"/>
        </w:pBdr>
        <w:spacing w:before="400" w:after="160"/>
      </w:pPr>
      <w:r>
        <w:rPr>
          <w:rFonts w:ascii="Arial" w:cs="Arial" w:eastAsia="Arial" w:hAnsi="Arial"/>
          <w:b/>
          <w:bCs/>
          <w:color w:val="1B2A4A"/>
          <w:sz w:val="36"/>
          <w:szCs w:val="36"/>
        </w:rPr>
        <w:t xml:space="preserve">1. The Problem</w:t>
      </w:r>
    </w:p>
    <w:p>
      <w:pPr>
        <w:pStyle w:val="Heading2"/>
        <w:spacing w:before="300" w:after="120"/>
      </w:pPr>
      <w:r>
        <w:rPr>
          <w:rFonts w:ascii="Arial" w:cs="Arial" w:eastAsia="Arial" w:hAnsi="Arial"/>
          <w:b/>
          <w:bCs/>
          <w:color w:val="2E5FA3"/>
          <w:sz w:val="28"/>
          <w:szCs w:val="28"/>
        </w:rPr>
        <w:t xml:space="preserve">1.1 The Estimation Paradox</w:t>
      </w:r>
    </w:p>
    <w:p>
      <w:pPr>
        <w:spacing w:before="80" w:after="120"/>
        <w:jc w:val="both"/>
      </w:pPr>
      <w:r>
        <w:rPr>
          <w:rFonts w:ascii="Arial" w:cs="Arial" w:eastAsia="Arial" w:hAnsi="Arial"/>
          <w:b w:val="false"/>
          <w:bCs w:val="false"/>
          <w:i w:val="false"/>
          <w:iCs w:val="false"/>
          <w:color w:val="1B2A4A"/>
          <w:sz w:val="22"/>
          <w:szCs w:val="22"/>
        </w:rPr>
        <w:t xml:space="preserve">Every software organization faces the same paradox: to plan effectively, managers need accurate estimates. To give accurate estimates, engineers need safety — the guarantee that honesty will not be used against them. But that guarantee is structurally absent in most organizations.</w:t>
      </w:r>
    </w:p>
    <w:p>
      <w:pPr>
        <w:spacing w:before="80" w:after="120"/>
        <w:jc w:val="both"/>
      </w:pPr>
      <w:r>
        <w:rPr>
          <w:rFonts w:ascii="Arial" w:cs="Arial" w:eastAsia="Arial" w:hAnsi="Arial"/>
          <w:b w:val="false"/>
          <w:bCs w:val="false"/>
          <w:i w:val="false"/>
          <w:iCs w:val="false"/>
          <w:color w:val="1B2A4A"/>
          <w:sz w:val="22"/>
          <w:szCs w:val="22"/>
        </w:rPr>
        <w:t xml:space="preserve">When an engineer says "this will take three weeks," that statement is not a prediction. It is a negotiated position. It factors in what the manager wants to hear, what will be considered acceptable, what the engineer can defend if things go wrong. The three weeks encodes social information, not technical information.</w:t>
      </w:r>
    </w:p>
    <w:p>
      <w:pPr>
        <w:pBdr>
          <w:left w:val="single" w:color="E8A020" w:sz="12" w:space="10"/>
        </w:pBdr>
        <w:spacing w:before="120" w:after="120"/>
        <w:ind w:left="720" w:right="720"/>
        <w:jc w:val="both"/>
      </w:pPr>
      <w:r>
        <w:rPr>
          <w:rFonts w:ascii="Arial" w:cs="Arial" w:eastAsia="Arial" w:hAnsi="Arial"/>
          <w:i/>
          <w:iCs/>
          <w:color w:val="555555"/>
          <w:sz w:val="22"/>
          <w:szCs w:val="22"/>
        </w:rPr>
        <w:t xml:space="preserve">"Estimation is not a technical problem. It is a trust problem with technical consequences."</w:t>
      </w:r>
    </w:p>
    <w:p>
      <w:pPr>
        <w:spacing w:before="80" w:after="120"/>
        <w:jc w:val="both"/>
      </w:pPr>
      <w:r>
        <w:rPr>
          <w:rFonts w:ascii="Arial" w:cs="Arial" w:eastAsia="Arial" w:hAnsi="Arial"/>
          <w:b w:val="false"/>
          <w:bCs w:val="false"/>
          <w:i w:val="false"/>
          <w:iCs w:val="false"/>
          <w:color w:val="1B2A4A"/>
          <w:sz w:val="22"/>
          <w:szCs w:val="22"/>
        </w:rPr>
        <w:t xml:space="preserve">The consequences are measurable. Studies consistently find that 70-80% of software projects overrun their original estimates. The standard response is to improve estimation techniques — better decomposition, reference classes, planning poker. These approaches address the symptom, not the cause.</w:t>
      </w:r>
    </w:p>
    <w:p>
      <w:pPr>
        <w:pStyle w:val="Heading2"/>
        <w:spacing w:before="300" w:after="120"/>
      </w:pPr>
      <w:r>
        <w:rPr>
          <w:rFonts w:ascii="Arial" w:cs="Arial" w:eastAsia="Arial" w:hAnsi="Arial"/>
          <w:b/>
          <w:bCs/>
          <w:color w:val="2E5FA3"/>
          <w:sz w:val="28"/>
          <w:szCs w:val="28"/>
        </w:rPr>
        <w:t xml:space="preserve">1.2 Why Better Techniques Fail</w:t>
      </w:r>
    </w:p>
    <w:p>
      <w:pPr>
        <w:spacing w:before="80" w:after="120"/>
        <w:jc w:val="both"/>
      </w:pPr>
      <w:r>
        <w:rPr>
          <w:rFonts w:ascii="Arial" w:cs="Arial" w:eastAsia="Arial" w:hAnsi="Arial"/>
          <w:b w:val="false"/>
          <w:bCs w:val="false"/>
          <w:i w:val="false"/>
          <w:iCs w:val="false"/>
          <w:color w:val="1B2A4A"/>
          <w:sz w:val="22"/>
          <w:szCs w:val="22"/>
        </w:rPr>
        <w:t xml:space="preserve">Estimation techniques improve accuracy only when agents have incentive to use them honestly. Planning poker requires that engineers vote independently before revealing their estimates. In practice, senior engineers vote last, or junior engineers anchor to the first number they hear. The technique works in theory; it degrades in the presence of social dynamics.</w:t>
      </w:r>
    </w:p>
    <w:p>
      <w:pPr>
        <w:spacing w:before="80" w:after="120"/>
        <w:jc w:val="both"/>
      </w:pPr>
      <w:r>
        <w:rPr>
          <w:rFonts w:ascii="Arial" w:cs="Arial" w:eastAsia="Arial" w:hAnsi="Arial"/>
          <w:b w:val="false"/>
          <w:bCs w:val="false"/>
          <w:i w:val="false"/>
          <w:iCs w:val="false"/>
          <w:color w:val="1B2A4A"/>
          <w:sz w:val="22"/>
          <w:szCs w:val="22"/>
        </w:rPr>
        <w:t xml:space="preserve">The underlying issue is that accurate estimation requires revealing information about one's own limitations. An engineer who says P20=2 weeks, P80=8 weeks is not being indecisive — they are accurately describing a task with high uncertainty. But that interval will be read as incompetence, and the engineer will learn not to provide it.</w:t>
      </w:r>
    </w:p>
    <w:p>
      <w:pPr>
        <w:spacing w:before="80" w:after="120"/>
        <w:jc w:val="both"/>
      </w:pPr>
      <w:r>
        <w:rPr>
          <w:rFonts w:ascii="Arial" w:cs="Arial" w:eastAsia="Arial" w:hAnsi="Arial"/>
          <w:b w:val="false"/>
          <w:bCs w:val="false"/>
          <w:i w:val="false"/>
          <w:iCs w:val="false"/>
          <w:color w:val="1B2A4A"/>
          <w:sz w:val="22"/>
          <w:szCs w:val="22"/>
        </w:rPr>
        <w:t xml:space="preserve">No estimation technique survives an organization that punishes honest uncertainty.</w:t>
      </w:r>
    </w:p>
    <w:p>
      <w:pPr>
        <w:pStyle w:val="Heading1"/>
        <w:pBdr>
          <w:bottom w:val="single" w:color="2E5FA3" w:sz="6" w:space="6"/>
        </w:pBdr>
        <w:spacing w:before="400" w:after="160"/>
      </w:pPr>
      <w:r>
        <w:rPr>
          <w:rFonts w:ascii="Arial" w:cs="Arial" w:eastAsia="Arial" w:hAnsi="Arial"/>
          <w:b/>
          <w:bCs/>
          <w:color w:val="1B2A4A"/>
          <w:sz w:val="36"/>
          <w:szCs w:val="36"/>
        </w:rPr>
        <w:t xml:space="preserve">2. The Root Cause: Information Asymmetry</w:t>
      </w:r>
    </w:p>
    <w:p>
      <w:pPr>
        <w:pStyle w:val="Heading2"/>
        <w:spacing w:before="300" w:after="120"/>
      </w:pPr>
      <w:r>
        <w:rPr>
          <w:rFonts w:ascii="Arial" w:cs="Arial" w:eastAsia="Arial" w:hAnsi="Arial"/>
          <w:b/>
          <w:bCs/>
          <w:color w:val="2E5FA3"/>
          <w:sz w:val="28"/>
          <w:szCs w:val="28"/>
        </w:rPr>
        <w:t xml:space="preserve">2.1 What Asymmetry Means Here</w:t>
      </w:r>
    </w:p>
    <w:p>
      <w:pPr>
        <w:spacing w:before="80" w:after="120"/>
        <w:jc w:val="both"/>
      </w:pPr>
      <w:r>
        <w:rPr>
          <w:rFonts w:ascii="Arial" w:cs="Arial" w:eastAsia="Arial" w:hAnsi="Arial"/>
          <w:b w:val="false"/>
          <w:bCs w:val="false"/>
          <w:i w:val="false"/>
          <w:iCs w:val="false"/>
          <w:color w:val="1B2A4A"/>
          <w:sz w:val="22"/>
          <w:szCs w:val="22"/>
        </w:rPr>
        <w:t xml:space="preserve">In economics, information asymmetry describes situations where one party in a transaction has relevant information the other party lacks. In labor markets, the canonical example is the employee who knows their own productivity while the employer does not.</w:t>
      </w:r>
    </w:p>
    <w:p>
      <w:pPr>
        <w:spacing w:before="80" w:after="120"/>
        <w:jc w:val="both"/>
      </w:pPr>
      <w:r>
        <w:rPr>
          <w:rFonts w:ascii="Arial" w:cs="Arial" w:eastAsia="Arial" w:hAnsi="Arial"/>
          <w:b w:val="false"/>
          <w:bCs w:val="false"/>
          <w:i w:val="false"/>
          <w:iCs w:val="false"/>
          <w:color w:val="1B2A4A"/>
          <w:sz w:val="22"/>
          <w:szCs w:val="22"/>
        </w:rPr>
        <w:t xml:space="preserve">Software estimation creates a specific and underexplored form of asymmetry: engineers implicitly reveal rich information about their cognitive profiles — their uncertainty tolerance, their bias toward optimism or pessimism, their domain-specific confidence levels — through the act of estimating. This information is valuable. And it is currently unprotected.</w:t>
      </w:r>
    </w:p>
    <w:p>
      <w:pPr>
        <w:spacing w:before="80" w:after="120"/>
        <w:jc w:val="both"/>
      </w:pPr>
      <w:r>
        <w:rPr>
          <w:rFonts w:ascii="Arial" w:cs="Arial" w:eastAsia="Arial" w:hAnsi="Arial"/>
          <w:b w:val="false"/>
          <w:bCs w:val="false"/>
          <w:i w:val="false"/>
          <w:iCs w:val="false"/>
          <w:color w:val="1B2A4A"/>
          <w:sz w:val="22"/>
          <w:szCs w:val="22"/>
        </w:rPr>
        <w:t xml:space="preserve">An organization that systematically collects estimation data can build statistical profiles of each engineer without their knowledge or consent. Those profiles can be used to identify "low confidence" engineers for performance management, to optimize task assignment in ways that benefit the organization at the expense of the individual, or to inform salary negotiations.</w:t>
      </w:r>
    </w:p>
    <w:p>
      <w:pPr>
        <w:spacing w:before="80" w:after="120"/>
        <w:jc w:val="both"/>
      </w:pPr>
      <w:r>
        <w:rPr>
          <w:rFonts w:ascii="Arial" w:cs="Arial" w:eastAsia="Arial" w:hAnsi="Arial"/>
          <w:b w:val="false"/>
          <w:bCs w:val="false"/>
          <w:i w:val="false"/>
          <w:iCs w:val="false"/>
          <w:color w:val="1B2A4A"/>
          <w:sz w:val="22"/>
          <w:szCs w:val="22"/>
        </w:rPr>
        <w:t xml:space="preserve">The engineer who participates honestly in estimation processes is, in effect, giving away information about themselves with no contractual protection.</w:t>
      </w:r>
    </w:p>
    <w:p>
      <w:pPr>
        <w:pStyle w:val="Heading2"/>
        <w:spacing w:before="300" w:after="120"/>
      </w:pPr>
      <w:r>
        <w:rPr>
          <w:rFonts w:ascii="Arial" w:cs="Arial" w:eastAsia="Arial" w:hAnsi="Arial"/>
          <w:b/>
          <w:bCs/>
          <w:color w:val="2E5FA3"/>
          <w:sz w:val="28"/>
          <w:szCs w:val="28"/>
        </w:rPr>
        <w:t xml:space="preserve">2.2 The Absence of a Social Contract</w:t>
      </w:r>
    </w:p>
    <w:p>
      <w:pPr>
        <w:spacing w:before="80" w:after="120"/>
        <w:jc w:val="both"/>
      </w:pPr>
      <w:r>
        <w:rPr>
          <w:rFonts w:ascii="Arial" w:cs="Arial" w:eastAsia="Arial" w:hAnsi="Arial"/>
          <w:b w:val="false"/>
          <w:bCs w:val="false"/>
          <w:i w:val="false"/>
          <w:iCs w:val="false"/>
          <w:color w:val="1B2A4A"/>
          <w:sz w:val="22"/>
          <w:szCs w:val="22"/>
        </w:rPr>
        <w:t xml:space="preserve">Traditional confidentiality agreements protect information that flows from employer to employee (trade secrets, unreleased products). No standard instrument protects information that flows from employee to employer in the course of collaborative work.</w:t>
      </w:r>
    </w:p>
    <w:p>
      <w:pPr>
        <w:spacing w:before="80" w:after="120"/>
        <w:jc w:val="both"/>
      </w:pPr>
      <w:r>
        <w:rPr>
          <w:rFonts w:ascii="Arial" w:cs="Arial" w:eastAsia="Arial" w:hAnsi="Arial"/>
          <w:b w:val="false"/>
          <w:bCs w:val="false"/>
          <w:i w:val="false"/>
          <w:iCs w:val="false"/>
          <w:color w:val="1B2A4A"/>
          <w:sz w:val="22"/>
          <w:szCs w:val="22"/>
        </w:rPr>
        <w:t xml:space="preserve">The ConfidenceNode Protocol fills this gap. Its central claim is: the implicit information generated by honest estimation is as deserving of protection as the explicit information covered by NDA.</w:t>
      </w:r>
    </w:p>
    <w:p>
      <w:pPr>
        <w:pStyle w:val="Heading1"/>
        <w:pBdr>
          <w:bottom w:val="single" w:color="2E5FA3" w:sz="6" w:space="6"/>
        </w:pBdr>
        <w:spacing w:before="400" w:after="160"/>
      </w:pPr>
      <w:r>
        <w:rPr>
          <w:rFonts w:ascii="Arial" w:cs="Arial" w:eastAsia="Arial" w:hAnsi="Arial"/>
          <w:b/>
          <w:bCs/>
          <w:color w:val="1B2A4A"/>
          <w:sz w:val="36"/>
          <w:szCs w:val="36"/>
        </w:rPr>
        <w:t xml:space="preserve">3. The Protocol</w:t>
      </w:r>
    </w:p>
    <w:p>
      <w:pPr>
        <w:pStyle w:val="Heading2"/>
        <w:spacing w:before="300" w:after="120"/>
      </w:pPr>
      <w:r>
        <w:rPr>
          <w:rFonts w:ascii="Arial" w:cs="Arial" w:eastAsia="Arial" w:hAnsi="Arial"/>
          <w:b/>
          <w:bCs/>
          <w:color w:val="2E5FA3"/>
          <w:sz w:val="28"/>
          <w:szCs w:val="28"/>
        </w:rPr>
        <w:t xml:space="preserve">3.1 Core Architecture</w:t>
      </w:r>
    </w:p>
    <w:p>
      <w:pPr>
        <w:spacing w:before="80" w:after="120"/>
        <w:jc w:val="both"/>
      </w:pPr>
      <w:r>
        <w:rPr>
          <w:rFonts w:ascii="Arial" w:cs="Arial" w:eastAsia="Arial" w:hAnsi="Arial"/>
          <w:b w:val="false"/>
          <w:bCs w:val="false"/>
          <w:i w:val="false"/>
          <w:iCs w:val="false"/>
          <w:color w:val="1B2A4A"/>
          <w:sz w:val="22"/>
          <w:szCs w:val="22"/>
        </w:rPr>
        <w:t xml:space="preserve">The protocol consists of five layers, each independently implementable and composable: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1. Capture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CLI / bot / 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Declare uncertainty explicitly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2. Model</w:t>
            </w:r>
          </w:p>
        </w:tc>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Bayesian homeostatic core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Infer latent agent parameters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3. Protect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Local vault (encrypted)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Keep model opaque from employer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4. Certify</w:t>
            </w:r>
          </w:p>
        </w:tc>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ConfidenceNode0 seal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Signal public commitment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5. Arbitrate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Independent intermediary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Resolve disputes outside employer</w:t>
            </w:r>
          </w:p>
        </w:tc>
      </w:tr>
    </w:tbl>
    <w:p>
      <w:pPr>
        <w:spacing w:before="160" w:after="80"/>
      </w:pPr>
    </w:p>
    <w:p>
      <w:pPr>
        <w:pStyle w:val="Heading2"/>
        <w:spacing w:before="300" w:after="120"/>
      </w:pPr>
      <w:r>
        <w:rPr>
          <w:rFonts w:ascii="Arial" w:cs="Arial" w:eastAsia="Arial" w:hAnsi="Arial"/>
          <w:b/>
          <w:bCs/>
          <w:color w:val="2E5FA3"/>
          <w:sz w:val="28"/>
          <w:szCs w:val="28"/>
        </w:rPr>
        <w:t xml:space="preserve">3.2 The Bayesian Homeostatic Model</w:t>
      </w:r>
    </w:p>
    <w:p>
      <w:pPr>
        <w:spacing w:before="80" w:after="120"/>
        <w:jc w:val="both"/>
      </w:pPr>
      <w:r>
        <w:rPr>
          <w:rFonts w:ascii="Arial" w:cs="Arial" w:eastAsia="Arial" w:hAnsi="Arial"/>
          <w:b w:val="false"/>
          <w:bCs w:val="false"/>
          <w:i w:val="false"/>
          <w:iCs w:val="false"/>
          <w:color w:val="1B2A4A"/>
          <w:sz w:val="22"/>
          <w:szCs w:val="22"/>
        </w:rPr>
        <w:t xml:space="preserve">The central technical component is a model of each agent built from observable behavior. Crucially, agents are never asked to self-report their parameters — the model infers latent variables from the pattern of their declarations over time.</w:t>
      </w:r>
    </w:p>
    <w:p>
      <w:pPr>
        <w:spacing w:before="80" w:after="120"/>
        <w:jc w:val="both"/>
      </w:pPr>
      <w:r>
        <w:rPr>
          <w:rFonts w:ascii="Arial" w:cs="Arial" w:eastAsia="Arial" w:hAnsi="Arial"/>
          <w:b w:val="false"/>
          <w:bCs w:val="false"/>
          <w:i w:val="false"/>
          <w:iCs w:val="false"/>
          <w:color w:val="1B2A4A"/>
          <w:sz w:val="22"/>
          <w:szCs w:val="22"/>
        </w:rPr>
        <w:t xml:space="preserve">The primary observable is the estimation interval: an agent declares P20 ("I have 20% probability of completing this in X effort") and P80 ("I have 80% probability"). The interval encodes both a point estimate and a confidence level. The ratio P80/P20 directly measures declared uncertainty.</w:t>
      </w:r>
    </w:p>
    <w:p>
      <w:pPr>
        <w:spacing w:before="80" w:after="120"/>
        <w:jc w:val="both"/>
      </w:pPr>
      <w:r>
        <w:rPr>
          <w:rFonts w:ascii="Arial" w:cs="Arial" w:eastAsia="Arial" w:hAnsi="Arial"/>
          <w:b w:val="false"/>
          <w:bCs w:val="false"/>
          <w:i w:val="false"/>
          <w:iCs w:val="false"/>
          <w:color w:val="1B2A4A"/>
          <w:sz w:val="22"/>
          <w:szCs w:val="22"/>
        </w:rPr>
        <w:t xml:space="preserve">From a history of intervals and outcomes, the model infers parameters including:</w:t>
      </w:r>
    </w:p>
    <w:p>
      <w:pPr>
        <w:pStyle w:val="ListParagraph"/>
        <w:numPr>
          <w:ilvl w:val="0"/>
          <w:numId w:val="2"/>
        </w:numPr>
        <w:spacing w:before="60" w:after="60"/>
      </w:pPr>
      <w:r>
        <w:rPr>
          <w:rFonts w:ascii="Arial" w:cs="Arial" w:eastAsia="Arial" w:hAnsi="Arial"/>
          <w:color w:val="1B2A4A"/>
          <w:sz w:val="22"/>
          <w:szCs w:val="22"/>
        </w:rPr>
        <w:t xml:space="preserve">Calibration index (theta): how well the agent's confidence aligns with their accuracy over time</w:t>
      </w:r>
    </w:p>
    <w:p>
      <w:pPr>
        <w:pStyle w:val="ListParagraph"/>
        <w:numPr>
          <w:ilvl w:val="0"/>
          <w:numId w:val="2"/>
        </w:numPr>
        <w:spacing w:before="60" w:after="60"/>
      </w:pPr>
      <w:r>
        <w:rPr>
          <w:rFonts w:ascii="Arial" w:cs="Arial" w:eastAsia="Arial" w:hAnsi="Arial"/>
          <w:color w:val="1B2A4A"/>
          <w:sz w:val="22"/>
          <w:szCs w:val="22"/>
        </w:rPr>
        <w:t xml:space="preserve">Optimism/pessimism bias: systematic directional error in point estimates</w:t>
      </w:r>
    </w:p>
    <w:p>
      <w:pPr>
        <w:pStyle w:val="ListParagraph"/>
        <w:numPr>
          <w:ilvl w:val="0"/>
          <w:numId w:val="2"/>
        </w:numPr>
        <w:spacing w:before="60" w:after="60"/>
      </w:pPr>
      <w:r>
        <w:rPr>
          <w:rFonts w:ascii="Arial" w:cs="Arial" w:eastAsia="Arial" w:hAnsi="Arial"/>
          <w:color w:val="1B2A4A"/>
          <w:sz w:val="22"/>
          <w:szCs w:val="22"/>
        </w:rPr>
        <w:t xml:space="preserve">Uncertainty tolerance: tendency to declare wide or narrow intervals independent of actual task difficulty</w:t>
      </w:r>
    </w:p>
    <w:p>
      <w:pPr>
        <w:pStyle w:val="ListParagraph"/>
        <w:numPr>
          <w:ilvl w:val="0"/>
          <w:numId w:val="2"/>
        </w:numPr>
        <w:spacing w:before="60" w:after="60"/>
      </w:pPr>
      <w:r>
        <w:rPr>
          <w:rFonts w:ascii="Arial" w:cs="Arial" w:eastAsia="Arial" w:hAnsi="Arial"/>
          <w:color w:val="1B2A4A"/>
          <w:sz w:val="22"/>
          <w:szCs w:val="22"/>
        </w:rPr>
        <w:t xml:space="preserve">Domain confidence: differential calibration across problem categories</w:t>
      </w:r>
    </w:p>
    <w:p>
      <w:pPr>
        <w:pStyle w:val="ListParagraph"/>
        <w:numPr>
          <w:ilvl w:val="0"/>
          <w:numId w:val="2"/>
        </w:numPr>
        <w:spacing w:before="60" w:after="60"/>
      </w:pPr>
      <w:r>
        <w:rPr>
          <w:rFonts w:ascii="Arial" w:cs="Arial" w:eastAsia="Arial" w:hAnsi="Arial"/>
          <w:color w:val="1B2A4A"/>
          <w:sz w:val="22"/>
          <w:szCs w:val="22"/>
        </w:rPr>
        <w:t xml:space="preserve">Social anchoring: degree to which estimates shift after observing others' estimates</w:t>
      </w:r>
    </w:p>
    <w:p>
      <w:pPr>
        <w:spacing w:before="80" w:after="120"/>
        <w:jc w:val="both"/>
      </w:pPr>
      <w:r>
        <w:rPr>
          <w:rFonts w:ascii="Arial" w:cs="Arial" w:eastAsia="Arial" w:hAnsi="Arial"/>
          <w:b w:val="false"/>
          <w:bCs w:val="false"/>
          <w:i w:val="false"/>
          <w:iCs w:val="false"/>
          <w:color w:val="1B2A4A"/>
          <w:sz w:val="22"/>
          <w:szCs w:val="22"/>
        </w:rPr>
        <w:t xml:space="preserve">The model updates with each resolved task using an Exponential Moving Average, giving more weight to recent behavior. This makes the model homeostatic — it recovers from anomalous periods and reflects the agent's current state rather than their entire history.</w:t>
      </w:r>
    </w:p>
    <w:p>
      <w:pPr>
        <w:spacing w:before="80" w:after="120"/>
        <w:jc w:val="both"/>
      </w:pPr>
      <w:r>
        <w:rPr>
          <w:rFonts w:ascii="Arial" w:cs="Arial" w:eastAsia="Arial" w:hAnsi="Arial"/>
          <w:b w:val="false"/>
          <w:bCs w:val="false"/>
          <w:i w:val="false"/>
          <w:iCs w:val="false"/>
          <w:color w:val="1B2A4A"/>
          <w:sz w:val="22"/>
          <w:szCs w:val="22"/>
        </w:rPr>
        <w:t xml:space="preserve">The key design principle: the agent never sees their own parameter values directly. They receive only the downstream effects — adjusted estimates, calibration feedback, and the interval_hit signal (whether their P20/P80 interval captured the actual outcome). The latent profile is the property of the system, not the employer.</w:t>
      </w:r>
    </w:p>
    <w:p>
      <w:pPr>
        <w:pStyle w:val="Heading2"/>
        <w:spacing w:before="300" w:after="120"/>
      </w:pPr>
      <w:r>
        <w:rPr>
          <w:rFonts w:ascii="Arial" w:cs="Arial" w:eastAsia="Arial" w:hAnsi="Arial"/>
          <w:b/>
          <w:bCs/>
          <w:color w:val="2E5FA3"/>
          <w:sz w:val="28"/>
          <w:szCs w:val="28"/>
        </w:rPr>
        <w:t xml:space="preserve">3.3 The Local Vault</w:t>
      </w:r>
    </w:p>
    <w:p>
      <w:pPr>
        <w:spacing w:before="80" w:after="120"/>
        <w:jc w:val="both"/>
      </w:pPr>
      <w:r>
        <w:rPr>
          <w:rFonts w:ascii="Arial" w:cs="Arial" w:eastAsia="Arial" w:hAnsi="Arial"/>
          <w:b w:val="false"/>
          <w:bCs w:val="false"/>
          <w:i w:val="false"/>
          <w:iCs w:val="false"/>
          <w:color w:val="1B2A4A"/>
          <w:sz w:val="22"/>
          <w:szCs w:val="22"/>
        </w:rPr>
        <w:t xml:space="preserve">All agent profiles are stored locally, in an encrypted SQLite database, on the agent's own machine. There is no central server. The organization receives only aggregate outputs — combined posteriors, team calibration statistics, bus factor risk scores — not the individual profiles that generated them.</w:t>
      </w:r>
    </w:p>
    <w:p>
      <w:pPr>
        <w:spacing w:before="80" w:after="120"/>
        <w:jc w:val="both"/>
      </w:pPr>
      <w:r>
        <w:rPr>
          <w:rFonts w:ascii="Arial" w:cs="Arial" w:eastAsia="Arial" w:hAnsi="Arial"/>
          <w:b w:val="false"/>
          <w:bCs w:val="false"/>
          <w:i w:val="false"/>
          <w:iCs w:val="false"/>
          <w:color w:val="1B2A4A"/>
          <w:sz w:val="22"/>
          <w:szCs w:val="22"/>
        </w:rPr>
        <w:t xml:space="preserve">This mirrors the architecture of PGP: the private key never leaves the owner's machine. The difference is that here, the "private key" is the agent's behavioral profile, and the outputs are estimation posteriors rather than encrypted messages.</w:t>
      </w:r>
    </w:p>
    <w:p>
      <w:pPr>
        <w:spacing w:before="80" w:after="120"/>
        <w:jc w:val="both"/>
      </w:pPr>
      <w:r>
        <w:rPr>
          <w:rFonts w:ascii="Arial" w:cs="Arial" w:eastAsia="Arial" w:hAnsi="Arial"/>
          <w:b w:val="false"/>
          <w:bCs w:val="false"/>
          <w:i w:val="false"/>
          <w:iCs w:val="false"/>
          <w:color w:val="1B2A4A"/>
          <w:sz w:val="22"/>
          <w:szCs w:val="22"/>
        </w:rPr>
        <w:t xml:space="preserve">The GPL license reinforces this architecture. Any integration that extracts individual profile data to a proprietary system must publish its source code under GPL. An organization cannot build a closed pipeline on top of GPL software without violating the license — and since the software is public, any such violation is detectable.</w:t>
      </w:r>
    </w:p>
    <w:p>
      <w:pPr>
        <w:pStyle w:val="Heading2"/>
        <w:spacing w:before="300" w:after="120"/>
      </w:pPr>
      <w:r>
        <w:rPr>
          <w:rFonts w:ascii="Arial" w:cs="Arial" w:eastAsia="Arial" w:hAnsi="Arial"/>
          <w:b/>
          <w:bCs/>
          <w:color w:val="2E5FA3"/>
          <w:sz w:val="28"/>
          <w:szCs w:val="28"/>
        </w:rPr>
        <w:t xml:space="preserve">3.4 The Commitment Scheme</w:t>
      </w:r>
    </w:p>
    <w:p>
      <w:pPr>
        <w:spacing w:before="80" w:after="120"/>
        <w:jc w:val="both"/>
      </w:pPr>
      <w:r>
        <w:rPr>
          <w:rFonts w:ascii="Arial" w:cs="Arial" w:eastAsia="Arial" w:hAnsi="Arial"/>
          <w:b w:val="false"/>
          <w:bCs w:val="false"/>
          <w:i w:val="false"/>
          <w:iCs w:val="false"/>
          <w:color w:val="1B2A4A"/>
          <w:sz w:val="22"/>
          <w:szCs w:val="22"/>
        </w:rPr>
        <w:t xml:space="preserve">To prevent retroactive manipulation of estimates, the protocol requires cryptographic commitment before outcomes are observed. When an agent submits P20 and P80 for a task, the system generates an HMAC over (gap_id, p20, p80, timestamp) using a key stored in the agent's vault.</w:t>
      </w:r>
    </w:p>
    <w:p>
      <w:pPr>
        <w:spacing w:before="80" w:after="120"/>
        <w:jc w:val="both"/>
      </w:pPr>
      <w:r>
        <w:rPr>
          <w:rFonts w:ascii="Arial" w:cs="Arial" w:eastAsia="Arial" w:hAnsi="Arial"/>
          <w:b w:val="false"/>
          <w:bCs w:val="false"/>
          <w:i w:val="false"/>
          <w:iCs w:val="false"/>
          <w:color w:val="1B2A4A"/>
          <w:sz w:val="22"/>
          <w:szCs w:val="22"/>
        </w:rPr>
        <w:t xml:space="preserve">The commitment is public — stored in the database and visible to auditors. The key is private — stored in the vault and never transmitted. This means anyone can verify that a specific (P20, P80) pair was submitted before the outcome was known, without being able to forge a new commitment retroactively.</w:t>
      </w:r>
    </w:p>
    <w:p>
      <w:pPr>
        <w:spacing w:before="80" w:after="120"/>
        <w:jc w:val="both"/>
      </w:pPr>
      <w:r>
        <w:rPr>
          <w:rFonts w:ascii="Arial" w:cs="Arial" w:eastAsia="Arial" w:hAnsi="Arial"/>
          <w:b w:val="false"/>
          <w:bCs w:val="false"/>
          <w:i w:val="false"/>
          <w:iCs w:val="false"/>
          <w:color w:val="1B2A4A"/>
          <w:sz w:val="22"/>
          <w:szCs w:val="22"/>
        </w:rPr>
        <w:t xml:space="preserve">This is the ZKP-adjacent property: the agent can prove "I committed to this interval before seeing the result" without revealing the vault key.</w:t>
      </w:r>
    </w:p>
    <w:p>
      <w:pPr>
        <w:pStyle w:val="Heading1"/>
        <w:pBdr>
          <w:bottom w:val="single" w:color="2E5FA3" w:sz="6" w:space="6"/>
        </w:pBdr>
        <w:spacing w:before="400" w:after="160"/>
      </w:pPr>
      <w:r>
        <w:rPr>
          <w:rFonts w:ascii="Arial" w:cs="Arial" w:eastAsia="Arial" w:hAnsi="Arial"/>
          <w:b/>
          <w:bCs/>
          <w:color w:val="1B2A4A"/>
          <w:sz w:val="36"/>
          <w:szCs w:val="36"/>
        </w:rPr>
        <w:t xml:space="preserve">4. The Technical Protection: GPL as CORS</w:t>
      </w:r>
    </w:p>
    <w:p>
      <w:pPr>
        <w:spacing w:before="80" w:after="120"/>
        <w:jc w:val="both"/>
      </w:pPr>
      <w:r>
        <w:rPr>
          <w:rFonts w:ascii="Arial" w:cs="Arial" w:eastAsia="Arial" w:hAnsi="Arial"/>
          <w:b w:val="false"/>
          <w:bCs w:val="false"/>
          <w:i w:val="false"/>
          <w:iCs w:val="false"/>
          <w:color w:val="1B2A4A"/>
          <w:sz w:val="22"/>
          <w:szCs w:val="22"/>
        </w:rPr>
        <w:t xml:space="preserve">The analogy is precise. CORS (Cross-Origin Resource Sharing) is a browser security policy that prevents a script from one origin from reading data from another origin without explicit permission. It does not encrypt the data — it restricts the pipe through which data can flow.</w:t>
      </w:r>
    </w:p>
    <w:p>
      <w:pPr>
        <w:spacing w:before="80" w:after="120"/>
        <w:jc w:val="both"/>
      </w:pPr>
      <w:r>
        <w:rPr>
          <w:rFonts w:ascii="Arial" w:cs="Arial" w:eastAsia="Arial" w:hAnsi="Arial"/>
          <w:b w:val="false"/>
          <w:bCs w:val="false"/>
          <w:i w:val="false"/>
          <w:iCs w:val="false"/>
          <w:color w:val="1B2A4A"/>
          <w:sz w:val="22"/>
          <w:szCs w:val="22"/>
        </w:rPr>
        <w:t xml:space="preserve">GPL operates analogously for software systems. An organization can use ctx-v2 freely. An organization can build tools that interact with ctx-v2 freely. What an organization cannot do is build a closed, proprietary pipeline that extracts agent profile data from ctx-v2 and feeds it into internal HR or performance management systems without publishing that pipeline under GPL.</w:t>
      </w:r>
    </w:p>
    <w:p>
      <w:pPr>
        <w:spacing w:before="80" w:after="120"/>
        <w:jc w:val="both"/>
      </w:pPr>
      <w:r>
        <w:rPr>
          <w:rFonts w:ascii="Arial" w:cs="Arial" w:eastAsia="Arial" w:hAnsi="Arial"/>
          <w:b w:val="false"/>
          <w:bCs w:val="false"/>
          <w:i w:val="false"/>
          <w:iCs w:val="false"/>
          <w:color w:val="1B2A4A"/>
          <w:sz w:val="22"/>
          <w:szCs w:val="22"/>
        </w:rPr>
        <w:t xml:space="preserve">The enforcement mechanism is not cryptographic — it is legal and reputational. But it is more robust than cryptography in one critical dimension: a cryptographic backdoor can be undetectable; a GPL violation in a company that employs software engineers is nearly impossible to keep secret. Engineers read code.</w:t>
      </w:r>
    </w:p>
    <w:p>
      <w:pPr>
        <w:pBdr>
          <w:left w:val="single" w:color="E8A020" w:sz="12" w:space="10"/>
        </w:pBdr>
        <w:spacing w:before="120" w:after="120"/>
        <w:ind w:left="720" w:right="720"/>
        <w:jc w:val="both"/>
      </w:pPr>
      <w:r>
        <w:rPr>
          <w:rFonts w:ascii="Arial" w:cs="Arial" w:eastAsia="Arial" w:hAnsi="Arial"/>
          <w:i/>
          <w:iCs/>
          <w:color w:val="555555"/>
          <w:sz w:val="22"/>
          <w:szCs w:val="22"/>
        </w:rPr>
        <w:t xml:space="preserve">"The best security for a GPL-based system is its users. Every engineer who works with ctx-v2 is a potential auditor of the organization's compliance."</w:t>
      </w:r>
    </w:p>
    <w:p>
      <w:pPr>
        <w:spacing w:before="80" w:after="120"/>
        <w:jc w:val="both"/>
      </w:pPr>
      <w:r>
        <w:rPr>
          <w:rFonts w:ascii="Arial" w:cs="Arial" w:eastAsia="Arial" w:hAnsi="Arial"/>
          <w:b w:val="false"/>
          <w:bCs w:val="false"/>
          <w:i w:val="false"/>
          <w:iCs w:val="false"/>
          <w:color w:val="1B2A4A"/>
          <w:sz w:val="22"/>
          <w:szCs w:val="22"/>
        </w:rPr>
        <w:t xml:space="preserve">This creates a self-reinforcing dynamic: organizations that adopt the protocol have engineers who can detect violations. Organizations that would exploit the data cannot do so secretly. The technical protection depends on the same community whose trust it is designed to protect.</w:t>
      </w:r>
    </w:p>
    <w:p>
      <w:pPr>
        <w:pStyle w:val="Heading1"/>
        <w:pBdr>
          <w:bottom w:val="single" w:color="2E5FA3" w:sz="6" w:space="6"/>
        </w:pBdr>
        <w:spacing w:before="400" w:after="160"/>
      </w:pPr>
      <w:r>
        <w:rPr>
          <w:rFonts w:ascii="Arial" w:cs="Arial" w:eastAsia="Arial" w:hAnsi="Arial"/>
          <w:b/>
          <w:bCs/>
          <w:color w:val="1B2A4A"/>
          <w:sz w:val="36"/>
          <w:szCs w:val="36"/>
        </w:rPr>
        <w:t xml:space="preserve">5. ConfidenceNode0 — The Certification Authority</w:t>
      </w:r>
    </w:p>
    <w:p>
      <w:pPr>
        <w:pStyle w:val="Heading2"/>
        <w:spacing w:before="300" w:after="120"/>
      </w:pPr>
      <w:r>
        <w:rPr>
          <w:rFonts w:ascii="Arial" w:cs="Arial" w:eastAsia="Arial" w:hAnsi="Arial"/>
          <w:b/>
          <w:bCs/>
          <w:color w:val="2E5FA3"/>
          <w:sz w:val="28"/>
          <w:szCs w:val="28"/>
        </w:rPr>
        <w:t xml:space="preserve">5.1 What the Seal Certifies</w:t>
      </w:r>
    </w:p>
    <w:p>
      <w:pPr>
        <w:spacing w:before="80" w:after="120"/>
        <w:jc w:val="both"/>
      </w:pPr>
      <w:r>
        <w:rPr>
          <w:rFonts w:ascii="Arial" w:cs="Arial" w:eastAsia="Arial" w:hAnsi="Arial"/>
          <w:b w:val="false"/>
          <w:bCs w:val="false"/>
          <w:i w:val="false"/>
          <w:iCs w:val="false"/>
          <w:color w:val="1B2A4A"/>
          <w:sz w:val="22"/>
          <w:szCs w:val="22"/>
        </w:rPr>
        <w:t xml:space="preserve">ConfidenceNode0 is not a technical authority — it is a protocol authority. It does not control the software (which is GPL and belongs to everyone). It certifies organizational behavior.</w:t>
      </w:r>
    </w:p>
    <w:p>
      <w:pPr>
        <w:spacing w:before="80" w:after="120"/>
        <w:jc w:val="both"/>
      </w:pPr>
      <w:r>
        <w:rPr>
          <w:rFonts w:ascii="Arial" w:cs="Arial" w:eastAsia="Arial" w:hAnsi="Arial"/>
          <w:b w:val="false"/>
          <w:bCs w:val="false"/>
          <w:i w:val="false"/>
          <w:iCs w:val="false"/>
          <w:color w:val="1B2A4A"/>
          <w:sz w:val="22"/>
          <w:szCs w:val="22"/>
        </w:rPr>
        <w:t xml:space="preserve">A ConfidenceNode0 seal certifies that the holding organization:</w:t>
      </w:r>
    </w:p>
    <w:p>
      <w:pPr>
        <w:pStyle w:val="ListParagraph"/>
        <w:numPr>
          <w:ilvl w:val="0"/>
          <w:numId w:val="2"/>
        </w:numPr>
        <w:spacing w:before="60" w:after="60"/>
      </w:pPr>
      <w:r>
        <w:rPr>
          <w:rFonts w:ascii="Arial" w:cs="Arial" w:eastAsia="Arial" w:hAnsi="Arial"/>
          <w:color w:val="1B2A4A"/>
          <w:sz w:val="22"/>
          <w:szCs w:val="22"/>
        </w:rPr>
        <w:t xml:space="preserve">Has adopted the ConfidenceNode Protocol and operates ctx-v2 or a compatible implementation</w:t>
      </w:r>
    </w:p>
    <w:p>
      <w:pPr>
        <w:pStyle w:val="ListParagraph"/>
        <w:numPr>
          <w:ilvl w:val="0"/>
          <w:numId w:val="2"/>
        </w:numPr>
        <w:spacing w:before="60" w:after="60"/>
      </w:pPr>
      <w:r>
        <w:rPr>
          <w:rFonts w:ascii="Arial" w:cs="Arial" w:eastAsia="Arial" w:hAnsi="Arial"/>
          <w:color w:val="1B2A4A"/>
          <w:sz w:val="22"/>
          <w:szCs w:val="22"/>
        </w:rPr>
        <w:t xml:space="preserve">Has not built proprietary extraction pipelines on top of the protocol</w:t>
      </w:r>
    </w:p>
    <w:p>
      <w:pPr>
        <w:pStyle w:val="ListParagraph"/>
        <w:numPr>
          <w:ilvl w:val="0"/>
          <w:numId w:val="2"/>
        </w:numPr>
        <w:spacing w:before="60" w:after="60"/>
      </w:pPr>
      <w:r>
        <w:rPr>
          <w:rFonts w:ascii="Arial" w:cs="Arial" w:eastAsia="Arial" w:hAnsi="Arial"/>
          <w:color w:val="1B2A4A"/>
          <w:sz w:val="22"/>
          <w:szCs w:val="22"/>
        </w:rPr>
        <w:t xml:space="preserve">Has contractually agreed that estimation data will not be used in performance evaluations, compensation decisions, or termination decisions</w:t>
      </w:r>
    </w:p>
    <w:p>
      <w:pPr>
        <w:pStyle w:val="ListParagraph"/>
        <w:numPr>
          <w:ilvl w:val="0"/>
          <w:numId w:val="2"/>
        </w:numPr>
        <w:spacing w:before="60" w:after="60"/>
      </w:pPr>
      <w:r>
        <w:rPr>
          <w:rFonts w:ascii="Arial" w:cs="Arial" w:eastAsia="Arial" w:hAnsi="Arial"/>
          <w:color w:val="1B2A4A"/>
          <w:sz w:val="22"/>
          <w:szCs w:val="22"/>
        </w:rPr>
        <w:t xml:space="preserve">Has accepted the jurisdiction of an independent intermediary for disputes arising from alleged protocol violations</w:t>
      </w:r>
    </w:p>
    <w:p>
      <w:pPr>
        <w:pStyle w:val="ListParagraph"/>
        <w:numPr>
          <w:ilvl w:val="0"/>
          <w:numId w:val="2"/>
        </w:numPr>
        <w:spacing w:before="60" w:after="60"/>
      </w:pPr>
      <w:r>
        <w:rPr>
          <w:rFonts w:ascii="Arial" w:cs="Arial" w:eastAsia="Arial" w:hAnsi="Arial"/>
          <w:color w:val="1B2A4A"/>
          <w:sz w:val="22"/>
          <w:szCs w:val="22"/>
        </w:rPr>
        <w:t xml:space="preserve">Renews this commitment annually through a signed, timestamped document</w:t>
      </w:r>
    </w:p>
    <w:p>
      <w:pPr>
        <w:pStyle w:val="Heading2"/>
        <w:spacing w:before="300" w:after="120"/>
      </w:pPr>
      <w:r>
        <w:rPr>
          <w:rFonts w:ascii="Arial" w:cs="Arial" w:eastAsia="Arial" w:hAnsi="Arial"/>
          <w:b/>
          <w:bCs/>
          <w:color w:val="2E5FA3"/>
          <w:sz w:val="28"/>
          <w:szCs w:val="28"/>
        </w:rPr>
        <w:t xml:space="preserve">5.2 What the Seal Does Not Certify</w:t>
      </w:r>
    </w:p>
    <w:p>
      <w:pPr>
        <w:spacing w:before="80" w:after="120"/>
        <w:jc w:val="both"/>
      </w:pPr>
      <w:r>
        <w:rPr>
          <w:rFonts w:ascii="Arial" w:cs="Arial" w:eastAsia="Arial" w:hAnsi="Arial"/>
          <w:b w:val="false"/>
          <w:bCs w:val="false"/>
          <w:i w:val="false"/>
          <w:iCs w:val="false"/>
          <w:color w:val="1B2A4A"/>
          <w:sz w:val="22"/>
          <w:szCs w:val="22"/>
        </w:rPr>
        <w:t xml:space="preserve">The seal does not certify that the organization is a good employer in any general sense. It does not certify that engineers are treated fairly, paid well, or given interesting work. It certifies one specific, verifiable thing: that the implicit information generated by honest estimation is contractually protected.</w:t>
      </w:r>
    </w:p>
    <w:p>
      <w:pPr>
        <w:spacing w:before="80" w:after="120"/>
        <w:jc w:val="both"/>
      </w:pPr>
      <w:r>
        <w:rPr>
          <w:rFonts w:ascii="Arial" w:cs="Arial" w:eastAsia="Arial" w:hAnsi="Arial"/>
          <w:b w:val="false"/>
          <w:bCs w:val="false"/>
          <w:i w:val="false"/>
          <w:iCs w:val="false"/>
          <w:color w:val="1B2A4A"/>
          <w:sz w:val="22"/>
          <w:szCs w:val="22"/>
        </w:rPr>
        <w:t xml:space="preserve">This narrow scope is a feature, not a limitation. Broad certifications ("great place to work") are hard to verify and easy to game. Narrow certifications are auditable. An organization either has or does not have a clause prohibiting use of estimation data in performance reviews.</w:t>
      </w:r>
    </w:p>
    <w:p>
      <w:pPr>
        <w:pStyle w:val="Heading2"/>
        <w:spacing w:before="300" w:after="120"/>
      </w:pPr>
      <w:r>
        <w:rPr>
          <w:rFonts w:ascii="Arial" w:cs="Arial" w:eastAsia="Arial" w:hAnsi="Arial"/>
          <w:b/>
          <w:bCs/>
          <w:color w:val="2E5FA3"/>
          <w:sz w:val="28"/>
          <w:szCs w:val="28"/>
        </w:rPr>
        <w:t xml:space="preserve">5.3 The Pricing Model</w:t>
      </w:r>
    </w:p>
    <w:p>
      <w:pPr>
        <w:spacing w:before="80" w:after="120"/>
        <w:jc w:val="both"/>
      </w:pPr>
      <w:r>
        <w:rPr>
          <w:rFonts w:ascii="Arial" w:cs="Arial" w:eastAsia="Arial" w:hAnsi="Arial"/>
          <w:b w:val="false"/>
          <w:bCs w:val="false"/>
          <w:i w:val="false"/>
          <w:iCs w:val="false"/>
          <w:color w:val="1B2A4A"/>
          <w:sz w:val="22"/>
          <w:szCs w:val="22"/>
        </w:rPr>
        <w:t xml:space="preserve">The seal is free for organizations that adopt the full protocol and sign the commitment document. For organizations that wish to use ctx-v2 without adopting the protocol — and that therefore have not provided the contractual protection that justifies the seal — associated services and support are priced at a significant premium.</w:t>
      </w:r>
    </w:p>
    <w:p>
      <w:pPr>
        <w:spacing w:before="80" w:after="120"/>
        <w:jc w:val="both"/>
      </w:pPr>
      <w:r>
        <w:rPr>
          <w:rFonts w:ascii="Arial" w:cs="Arial" w:eastAsia="Arial" w:hAnsi="Arial"/>
          <w:b w:val="false"/>
          <w:bCs w:val="false"/>
          <w:i w:val="false"/>
          <w:iCs w:val="false"/>
          <w:color w:val="1B2A4A"/>
          <w:sz w:val="22"/>
          <w:szCs w:val="22"/>
        </w:rPr>
        <w:t xml:space="preserve">This is price discrimination based on behavior, not ability to pay. It creates an economic incentive to adopt the protocol that is independent of moral motivation. Organizations do not need to believe in the ethics of information asymmetry protection — they need only to compare prices.</w:t>
      </w:r>
    </w:p>
    <w:p>
      <w:pPr>
        <w:spacing w:before="80" w:after="120"/>
        <w:jc w:val="both"/>
      </w:pPr>
      <w:r>
        <w:rPr>
          <w:rFonts w:ascii="Arial" w:cs="Arial" w:eastAsia="Arial" w:hAnsi="Arial"/>
          <w:b w:val="false"/>
          <w:bCs w:val="false"/>
          <w:i w:val="false"/>
          <w:iCs w:val="false"/>
          <w:color w:val="1B2A4A"/>
          <w:sz w:val="22"/>
          <w:szCs w:val="22"/>
        </w:rPr>
        <w:t xml:space="preserve">The revenue from premium pricing funds the maintenance of the certification infrastructure, the operation of the independent intermediary system, and the compensation fund described in Section 6.</w:t>
      </w:r>
    </w:p>
    <w:p>
      <w:pPr>
        <w:pStyle w:val="Heading1"/>
        <w:pBdr>
          <w:bottom w:val="single" w:color="2E5FA3" w:sz="6" w:space="6"/>
        </w:pBdr>
        <w:spacing w:before="400" w:after="160"/>
      </w:pPr>
      <w:r>
        <w:rPr>
          <w:rFonts w:ascii="Arial" w:cs="Arial" w:eastAsia="Arial" w:hAnsi="Arial"/>
          <w:b/>
          <w:bCs/>
          <w:color w:val="1B2A4A"/>
          <w:sz w:val="36"/>
          <w:szCs w:val="36"/>
        </w:rPr>
        <w:t xml:space="preserve">6. The Contract Social</w:t>
      </w:r>
    </w:p>
    <w:p>
      <w:pPr>
        <w:pStyle w:val="Heading2"/>
        <w:spacing w:before="300" w:after="120"/>
      </w:pPr>
      <w:r>
        <w:rPr>
          <w:rFonts w:ascii="Arial" w:cs="Arial" w:eastAsia="Arial" w:hAnsi="Arial"/>
          <w:b/>
          <w:bCs/>
          <w:color w:val="2E5FA3"/>
          <w:sz w:val="28"/>
          <w:szCs w:val="28"/>
        </w:rPr>
        <w:t xml:space="preserve">6.1 Three Parties, Not Two</w:t>
      </w:r>
    </w:p>
    <w:p>
      <w:pPr>
        <w:spacing w:before="80" w:after="120"/>
        <w:jc w:val="both"/>
      </w:pPr>
      <w:r>
        <w:rPr>
          <w:rFonts w:ascii="Arial" w:cs="Arial" w:eastAsia="Arial" w:hAnsi="Arial"/>
          <w:b w:val="false"/>
          <w:bCs w:val="false"/>
          <w:i w:val="false"/>
          <w:iCs w:val="false"/>
          <w:color w:val="1B2A4A"/>
          <w:sz w:val="22"/>
          <w:szCs w:val="22"/>
        </w:rPr>
        <w:t xml:space="preserve">Standard employment relationships have two parties: employer and employee. Disputes are resolved by the employer (internal HR), by the courts (expensive and slow), or not at all (the most common outcome).</w:t>
      </w:r>
    </w:p>
    <w:p>
      <w:pPr>
        <w:spacing w:before="80" w:after="120"/>
        <w:jc w:val="both"/>
      </w:pPr>
      <w:r>
        <w:rPr>
          <w:rFonts w:ascii="Arial" w:cs="Arial" w:eastAsia="Arial" w:hAnsi="Arial"/>
          <w:b w:val="false"/>
          <w:bCs w:val="false"/>
          <w:i w:val="false"/>
          <w:iCs w:val="false"/>
          <w:color w:val="1B2A4A"/>
          <w:sz w:val="22"/>
          <w:szCs w:val="22"/>
        </w:rPr>
        <w:t xml:space="preserve">The ConfidenceNode Protocol introduces a mandatory third party: an independent intermediary that holds contracts with both engineers and organizations. Disputes about protocol violations — including alleged use of estimation data to harm an engineer — are resolved by the intermediary, not by the organization.</w:t>
      </w:r>
    </w:p>
    <w:p>
      <w:pPr>
        <w:spacing w:before="80" w:after="120"/>
        <w:jc w:val="both"/>
      </w:pPr>
      <w:r>
        <w:rPr>
          <w:rFonts w:ascii="Arial" w:cs="Arial" w:eastAsia="Arial" w:hAnsi="Arial"/>
          <w:b w:val="false"/>
          <w:bCs w:val="false"/>
          <w:i w:val="false"/>
          <w:iCs w:val="false"/>
          <w:color w:val="1B2A4A"/>
          <w:sz w:val="22"/>
          <w:szCs w:val="22"/>
        </w:rPr>
        <w:t xml:space="preserve">The intermediary has no ownership relationship with ConfidenceNode0 and no financial interest in either party's outcome. Its only function is to determine whether a protocol violation occurred and, if so, to determine appropriate compensation from the fund described below.</w:t>
      </w:r>
    </w:p>
    <w:p>
      <w:pPr>
        <w:pStyle w:val="Heading2"/>
        <w:spacing w:before="300" w:after="120"/>
      </w:pPr>
      <w:r>
        <w:rPr>
          <w:rFonts w:ascii="Arial" w:cs="Arial" w:eastAsia="Arial" w:hAnsi="Arial"/>
          <w:b/>
          <w:bCs/>
          <w:color w:val="2E5FA3"/>
          <w:sz w:val="28"/>
          <w:szCs w:val="28"/>
        </w:rPr>
        <w:t xml:space="preserve">6.2 The Performance Delta and Compensation Fund</w:t>
      </w:r>
    </w:p>
    <w:p>
      <w:pPr>
        <w:spacing w:before="80" w:after="120"/>
        <w:jc w:val="both"/>
      </w:pPr>
      <w:r>
        <w:rPr>
          <w:rFonts w:ascii="Arial" w:cs="Arial" w:eastAsia="Arial" w:hAnsi="Arial"/>
          <w:b w:val="false"/>
          <w:bCs w:val="false"/>
          <w:i w:val="false"/>
          <w:iCs w:val="false"/>
          <w:color w:val="1B2A4A"/>
          <w:sz w:val="22"/>
          <w:szCs w:val="22"/>
        </w:rPr>
        <w:t xml:space="preserve">Organizations that adopt the protocol can, with their engineers' consent, participate in a controlled performance comparison. Teams operating under the protocol are compared against matched teams (similar size, domain, and seniority) operating under conventional estimation practices.</w:t>
      </w:r>
    </w:p>
    <w:p>
      <w:pPr>
        <w:spacing w:before="80" w:after="120"/>
        <w:jc w:val="both"/>
      </w:pPr>
      <w:r>
        <w:rPr>
          <w:rFonts w:ascii="Arial" w:cs="Arial" w:eastAsia="Arial" w:hAnsi="Arial"/>
          <w:b w:val="false"/>
          <w:bCs w:val="false"/>
          <w:i w:val="false"/>
          <w:iCs w:val="false"/>
          <w:color w:val="1B2A4A"/>
          <w:sz w:val="22"/>
          <w:szCs w:val="22"/>
        </w:rPr>
        <w:t xml:space="preserve">When the protocol team demonstrates measurably better project predictability, the resulting economic value — reduced planning waste, fewer emergency reschedules, better resource allocation — is shared. The proposed split is:</w:t>
      </w:r>
    </w:p>
    <w:p>
      <w:pPr>
        <w:pStyle w:val="ListParagraph"/>
        <w:numPr>
          <w:ilvl w:val="0"/>
          <w:numId w:val="2"/>
        </w:numPr>
        <w:spacing w:before="60" w:after="60"/>
      </w:pPr>
      <w:r>
        <w:rPr>
          <w:rFonts w:ascii="Arial" w:cs="Arial" w:eastAsia="Arial" w:hAnsi="Arial"/>
          <w:color w:val="1B2A4A"/>
          <w:sz w:val="22"/>
          <w:szCs w:val="22"/>
        </w:rPr>
        <w:t xml:space="preserve">50% retained by the organization as return on their commitment to the protocol</w:t>
      </w:r>
    </w:p>
    <w:p>
      <w:pPr>
        <w:pStyle w:val="ListParagraph"/>
        <w:numPr>
          <w:ilvl w:val="0"/>
          <w:numId w:val="2"/>
        </w:numPr>
        <w:spacing w:before="60" w:after="60"/>
      </w:pPr>
      <w:r>
        <w:rPr>
          <w:rFonts w:ascii="Arial" w:cs="Arial" w:eastAsia="Arial" w:hAnsi="Arial"/>
          <w:color w:val="1B2A4A"/>
          <w:sz w:val="22"/>
          <w:szCs w:val="22"/>
        </w:rPr>
        <w:t xml:space="preserve">50% distributed to the engineering team whose honest estimation generated the value</w:t>
      </w:r>
    </w:p>
    <w:p>
      <w:pPr>
        <w:spacing w:before="80" w:after="120"/>
        <w:jc w:val="both"/>
      </w:pPr>
      <w:r>
        <w:rPr>
          <w:rFonts w:ascii="Arial" w:cs="Arial" w:eastAsia="Arial" w:hAnsi="Arial"/>
          <w:b w:val="false"/>
          <w:bCs w:val="false"/>
          <w:i w:val="false"/>
          <w:iCs w:val="false"/>
          <w:color w:val="1B2A4A"/>
          <w:sz w:val="22"/>
          <w:szCs w:val="22"/>
        </w:rPr>
        <w:t xml:space="preserve">From the engineers' 50%, a fraction is held in the compensation fund administered by the independent intermediary. This fund pays compensation to engineers who suffer demonstrable harm from protocol violations — for example, an engineer whose disclosed uncertainty interval was used in a performance review despite the organization's commitment.</w:t>
      </w:r>
    </w:p>
    <w:p>
      <w:pPr>
        <w:spacing w:before="80" w:after="120"/>
        <w:jc w:val="both"/>
      </w:pPr>
      <w:r>
        <w:rPr>
          <w:rFonts w:ascii="Arial" w:cs="Arial" w:eastAsia="Arial" w:hAnsi="Arial"/>
          <w:b w:val="false"/>
          <w:bCs w:val="false"/>
          <w:i w:val="false"/>
          <w:iCs w:val="false"/>
          <w:color w:val="1B2A4A"/>
          <w:sz w:val="22"/>
          <w:szCs w:val="22"/>
        </w:rPr>
        <w:t xml:space="preserve">The fund creates a concrete, economic meaning for the seal. It is not merely a public declaration — it is a financial commitment that honest participation in the system will not be used against the participant.</w:t>
      </w:r>
    </w:p>
    <w:p>
      <w:pPr>
        <w:pStyle w:val="Heading2"/>
        <w:spacing w:before="300" w:after="120"/>
      </w:pPr>
      <w:r>
        <w:rPr>
          <w:rFonts w:ascii="Arial" w:cs="Arial" w:eastAsia="Arial" w:hAnsi="Arial"/>
          <w:b/>
          <w:bCs/>
          <w:color w:val="2E5FA3"/>
          <w:sz w:val="28"/>
          <w:szCs w:val="28"/>
        </w:rPr>
        <w:t xml:space="preserve">6.3 The Disclosure Integrity Variable</w:t>
      </w:r>
    </w:p>
    <w:p>
      <w:pPr>
        <w:spacing w:before="80" w:after="120"/>
        <w:jc w:val="both"/>
      </w:pPr>
      <w:r>
        <w:rPr>
          <w:rFonts w:ascii="Arial" w:cs="Arial" w:eastAsia="Arial" w:hAnsi="Arial"/>
          <w:b w:val="false"/>
          <w:bCs w:val="false"/>
          <w:i w:val="false"/>
          <w:iCs w:val="false"/>
          <w:color w:val="1B2A4A"/>
          <w:sz w:val="22"/>
          <w:szCs w:val="22"/>
        </w:rPr>
        <w:t xml:space="preserve">The protocol maintains, for each agent, a latent variable that tracks disclosure integrity — the degree to which the agent's behavior is consistent with the confidentiality norms of the system. This variable is never directly observable by the agent or by the organization. It is inferred from behavioral signals:</w:t>
      </w:r>
    </w:p>
    <w:p>
      <w:pPr>
        <w:pStyle w:val="ListParagraph"/>
        <w:numPr>
          <w:ilvl w:val="0"/>
          <w:numId w:val="2"/>
        </w:numPr>
        <w:spacing w:before="60" w:after="60"/>
      </w:pPr>
      <w:r>
        <w:rPr>
          <w:rFonts w:ascii="Arial" w:cs="Arial" w:eastAsia="Arial" w:hAnsi="Arial"/>
          <w:color w:val="1B2A4A"/>
          <w:sz w:val="22"/>
          <w:szCs w:val="22"/>
        </w:rPr>
        <w:t xml:space="preserve">Sharing another agent's estimation interval outside the system's defined reporting channels</w:t>
      </w:r>
    </w:p>
    <w:p>
      <w:pPr>
        <w:pStyle w:val="ListParagraph"/>
        <w:numPr>
          <w:ilvl w:val="0"/>
          <w:numId w:val="2"/>
        </w:numPr>
        <w:spacing w:before="60" w:after="60"/>
      </w:pPr>
      <w:r>
        <w:rPr>
          <w:rFonts w:ascii="Arial" w:cs="Arial" w:eastAsia="Arial" w:hAnsi="Arial"/>
          <w:color w:val="1B2A4A"/>
          <w:sz w:val="22"/>
          <w:szCs w:val="22"/>
        </w:rPr>
        <w:t xml:space="preserve">Using knowledge of another agent's private estimate to anchor subsequent public estimates</w:t>
      </w:r>
    </w:p>
    <w:p>
      <w:pPr>
        <w:pStyle w:val="ListParagraph"/>
        <w:numPr>
          <w:ilvl w:val="0"/>
          <w:numId w:val="2"/>
        </w:numPr>
        <w:spacing w:before="60" w:after="60"/>
      </w:pPr>
      <w:r>
        <w:rPr>
          <w:rFonts w:ascii="Arial" w:cs="Arial" w:eastAsia="Arial" w:hAnsi="Arial"/>
          <w:color w:val="1B2A4A"/>
          <w:sz w:val="22"/>
          <w:szCs w:val="22"/>
        </w:rPr>
        <w:t xml:space="preserve">Patterns of estimate submission that suggest access to information that should have been private</w:t>
      </w:r>
    </w:p>
    <w:p>
      <w:pPr>
        <w:spacing w:before="80" w:after="120"/>
        <w:jc w:val="both"/>
      </w:pPr>
      <w:r>
        <w:rPr>
          <w:rFonts w:ascii="Arial" w:cs="Arial" w:eastAsia="Arial" w:hAnsi="Arial"/>
          <w:b w:val="false"/>
          <w:bCs w:val="false"/>
          <w:i w:val="false"/>
          <w:iCs w:val="false"/>
          <w:color w:val="1B2A4A"/>
          <w:sz w:val="22"/>
          <w:szCs w:val="22"/>
        </w:rPr>
        <w:t xml:space="preserve">The variable does not produce explicit outputs. Its effect is to reduce the weight of the agent's estimates in the combined posterior — a homeostatic correction that does not require punishment or confrontation. An agent who consistently violates disclosure norms simply has less influence on collective estimates, without any formal process.</w:t>
      </w:r>
    </w:p>
    <w:p>
      <w:pPr>
        <w:spacing w:before="80" w:after="120"/>
        <w:jc w:val="both"/>
      </w:pPr>
      <w:r>
        <w:rPr>
          <w:rFonts w:ascii="Arial" w:cs="Arial" w:eastAsia="Arial" w:hAnsi="Arial"/>
          <w:b w:val="false"/>
          <w:bCs w:val="false"/>
          <w:i w:val="false"/>
          <w:iCs w:val="false"/>
          <w:color w:val="1B2A4A"/>
          <w:sz w:val="22"/>
          <w:szCs w:val="22"/>
        </w:rPr>
        <w:t xml:space="preserve">This design is intentional. Formal punishment processes are adversarial and generate defensive behavior. Quiet de-weighting is self-correcting and requires no intervention.</w:t>
      </w:r>
    </w:p>
    <w:p>
      <w:pPr>
        <w:pStyle w:val="Heading1"/>
        <w:pBdr>
          <w:bottom w:val="single" w:color="2E5FA3" w:sz="6" w:space="6"/>
        </w:pBdr>
        <w:spacing w:before="400" w:after="160"/>
      </w:pPr>
      <w:r>
        <w:rPr>
          <w:rFonts w:ascii="Arial" w:cs="Arial" w:eastAsia="Arial" w:hAnsi="Arial"/>
          <w:b/>
          <w:bCs/>
          <w:color w:val="1B2A4A"/>
          <w:sz w:val="36"/>
          <w:szCs w:val="36"/>
        </w:rPr>
        <w:t xml:space="preserve">7. Extensions Beyond Software Engineering</w:t>
      </w:r>
    </w:p>
    <w:p>
      <w:pPr>
        <w:spacing w:before="80" w:after="120"/>
        <w:jc w:val="both"/>
      </w:pPr>
      <w:r>
        <w:rPr>
          <w:rFonts w:ascii="Arial" w:cs="Arial" w:eastAsia="Arial" w:hAnsi="Arial"/>
          <w:b w:val="false"/>
          <w:bCs w:val="false"/>
          <w:i w:val="false"/>
          <w:iCs w:val="false"/>
          <w:color w:val="1B2A4A"/>
          <w:sz w:val="22"/>
          <w:szCs w:val="22"/>
        </w:rPr>
        <w:t xml:space="preserve">The protocol is domain-agnostic. The core abstraction — an agent declares uncertainty about a task, the system infers a latent profile, the profile is protected from the agents' principals — applies wherever collaborative work involves information asymmetry.</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Uncertainty unit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Agents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Impact of ignoring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Technical gap (#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Engineers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Project delays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Education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Unknown concept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Students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Assessment failure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Customer objection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Account managers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Lost opportunity</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Medicine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Undiagnosed symptom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Clinicians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Patient harm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Legal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Unknown precedent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Lawyers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Case loss</w:t>
            </w:r>
          </w:p>
        </w:tc>
      </w:tr>
    </w:tbl>
    <w:p>
      <w:pPr>
        <w:spacing w:before="200" w:after="80"/>
      </w:pPr>
    </w:p>
    <w:p>
      <w:pPr>
        <w:spacing w:before="80" w:after="120"/>
        <w:jc w:val="both"/>
      </w:pPr>
      <w:r>
        <w:rPr>
          <w:rFonts w:ascii="Arial" w:cs="Arial" w:eastAsia="Arial" w:hAnsi="Arial"/>
          <w:b w:val="false"/>
          <w:bCs w:val="false"/>
          <w:i w:val="false"/>
          <w:iCs w:val="false"/>
          <w:color w:val="1B2A4A"/>
          <w:sz w:val="22"/>
          <w:szCs w:val="22"/>
        </w:rPr>
        <w:t xml:space="preserve">The educational application is particularly direct. The calibration index (theta) measures metacognition — an agent's ability to predict their own performance. A student who consistently underestimates how long it will take to learn a concept has a metacognitive deficit that is exactly what experienced teachers try to detect manually. The protocol measures it automatically, without requiring the student to self-report.</w:t>
      </w:r>
    </w:p>
    <w:p>
      <w:pPr>
        <w:spacing w:before="80" w:after="120"/>
        <w:jc w:val="both"/>
      </w:pPr>
      <w:r>
        <w:rPr>
          <w:rFonts w:ascii="Arial" w:cs="Arial" w:eastAsia="Arial" w:hAnsi="Arial"/>
          <w:b w:val="false"/>
          <w:bCs w:val="false"/>
          <w:i w:val="false"/>
          <w:iCs w:val="false"/>
          <w:color w:val="1B2A4A"/>
          <w:sz w:val="22"/>
          <w:szCs w:val="22"/>
        </w:rPr>
        <w:t xml:space="preserve">In medicine and law, the protocol would require significant adaptation to domain-specific regulatory constraints. These are future work. The point of the table above is not to claim immediate applicability — it is to demonstrate that the underlying problem (unmeasured uncertainty, information asymmetry, absence of protection for implicit disclosures) is structural across domains, not incidental to software engineering.</w:t>
      </w:r>
    </w:p>
    <w:p>
      <w:pPr>
        <w:pStyle w:val="Heading1"/>
        <w:pBdr>
          <w:bottom w:val="single" w:color="2E5FA3" w:sz="6" w:space="6"/>
        </w:pBdr>
        <w:spacing w:before="400" w:after="160"/>
      </w:pPr>
      <w:r>
        <w:rPr>
          <w:rFonts w:ascii="Arial" w:cs="Arial" w:eastAsia="Arial" w:hAnsi="Arial"/>
          <w:b/>
          <w:bCs/>
          <w:color w:val="1B2A4A"/>
          <w:sz w:val="36"/>
          <w:szCs w:val="36"/>
        </w:rPr>
        <w:t xml:space="preserve">8. Roadmap</w:t>
      </w:r>
    </w:p>
    <w:p>
      <w:pPr>
        <w:pStyle w:val="Heading2"/>
        <w:spacing w:before="300" w:after="120"/>
      </w:pPr>
      <w:r>
        <w:rPr>
          <w:rFonts w:ascii="Arial" w:cs="Arial" w:eastAsia="Arial" w:hAnsi="Arial"/>
          <w:b/>
          <w:bCs/>
          <w:color w:val="2E5FA3"/>
          <w:sz w:val="28"/>
          <w:szCs w:val="28"/>
        </w:rPr>
        <w:t xml:space="preserve">Phase 1 — Reference Implementation (Current)</w:t>
      </w:r>
    </w:p>
    <w:p>
      <w:pPr>
        <w:spacing w:before="80" w:after="120"/>
        <w:jc w:val="both"/>
      </w:pPr>
      <w:r>
        <w:rPr>
          <w:rFonts w:ascii="Arial" w:cs="Arial" w:eastAsia="Arial" w:hAnsi="Arial"/>
          <w:b w:val="false"/>
          <w:bCs w:val="false"/>
          <w:i w:val="false"/>
          <w:iCs w:val="false"/>
          <w:color w:val="1B2A4A"/>
          <w:sz w:val="22"/>
          <w:szCs w:val="22"/>
        </w:rPr>
        <w:t xml:space="preserve">ctx-v2 is the reference implementation of the protocol's technical layers. It implements the Bayesian estimation model, the local encrypted vault, the commitment scheme, and the interval_hit calibration signal. It is released under GPL v3 and is publicly available.</w:t>
      </w:r>
    </w:p>
    <w:p>
      <w:pPr>
        <w:spacing w:before="80" w:after="120"/>
        <w:jc w:val="both"/>
      </w:pPr>
      <w:r>
        <w:rPr>
          <w:rFonts w:ascii="Arial" w:cs="Arial" w:eastAsia="Arial" w:hAnsi="Arial"/>
          <w:b w:val="false"/>
          <w:bCs w:val="false"/>
          <w:i w:val="false"/>
          <w:iCs w:val="false"/>
          <w:color w:val="1B2A4A"/>
          <w:sz w:val="22"/>
          <w:szCs w:val="22"/>
        </w:rPr>
        <w:t xml:space="preserve">The current implementation covers Layer 1 (capture via CLI), Layer 2 (Bayesian homeostatic model), and Layer 3 (local vault). Layers 4 and 5 are defined in this document but not yet implemented.</w:t>
      </w:r>
    </w:p>
    <w:p>
      <w:pPr>
        <w:pStyle w:val="Heading2"/>
        <w:spacing w:before="300" w:after="120"/>
      </w:pPr>
      <w:r>
        <w:rPr>
          <w:rFonts w:ascii="Arial" w:cs="Arial" w:eastAsia="Arial" w:hAnsi="Arial"/>
          <w:b/>
          <w:bCs/>
          <w:color w:val="2E5FA3"/>
          <w:sz w:val="28"/>
          <w:szCs w:val="28"/>
        </w:rPr>
        <w:t xml:space="preserve">Phase 2 — Certification Infrastructure</w:t>
      </w:r>
    </w:p>
    <w:p>
      <w:pPr>
        <w:spacing w:before="80" w:after="120"/>
        <w:jc w:val="both"/>
      </w:pPr>
      <w:r>
        <w:rPr>
          <w:rFonts w:ascii="Arial" w:cs="Arial" w:eastAsia="Arial" w:hAnsi="Arial"/>
          <w:b w:val="false"/>
          <w:bCs w:val="false"/>
          <w:i w:val="false"/>
          <w:iCs w:val="false"/>
          <w:color w:val="1B2A4A"/>
          <w:sz w:val="22"/>
          <w:szCs w:val="22"/>
        </w:rPr>
        <w:t xml:space="preserve">Establish the ConfidenceNode0 certification authority: the signing server, the commitment document, the renewal process, and the public registry of seal-holding organizations. First seals issued to early adopters at no cost in exchange for participation in the performance comparison study.</w:t>
      </w:r>
    </w:p>
    <w:p>
      <w:pPr>
        <w:pStyle w:val="Heading2"/>
        <w:spacing w:before="300" w:after="120"/>
      </w:pPr>
      <w:r>
        <w:rPr>
          <w:rFonts w:ascii="Arial" w:cs="Arial" w:eastAsia="Arial" w:hAnsi="Arial"/>
          <w:b/>
          <w:bCs/>
          <w:color w:val="2E5FA3"/>
          <w:sz w:val="28"/>
          <w:szCs w:val="28"/>
        </w:rPr>
        <w:t xml:space="preserve">Phase 3 — Independent Intermediary Network</w:t>
      </w:r>
    </w:p>
    <w:p>
      <w:pPr>
        <w:spacing w:before="80" w:after="120"/>
        <w:jc w:val="both"/>
      </w:pPr>
      <w:r>
        <w:rPr>
          <w:rFonts w:ascii="Arial" w:cs="Arial" w:eastAsia="Arial" w:hAnsi="Arial"/>
          <w:b w:val="false"/>
          <w:bCs w:val="false"/>
          <w:i w:val="false"/>
          <w:iCs w:val="false"/>
          <w:color w:val="1B2A4A"/>
          <w:sz w:val="22"/>
          <w:szCs w:val="22"/>
        </w:rPr>
        <w:t xml:space="preserve">Establish contracts with independent arbitration providers for dispute resolution. Define the compensation fund structure, contribution rates, and payout criteria. Publish the arbitration protocol as an open standard.</w:t>
      </w:r>
    </w:p>
    <w:p>
      <w:pPr>
        <w:pStyle w:val="Heading2"/>
        <w:spacing w:before="300" w:after="120"/>
      </w:pPr>
      <w:r>
        <w:rPr>
          <w:rFonts w:ascii="Arial" w:cs="Arial" w:eastAsia="Arial" w:hAnsi="Arial"/>
          <w:b/>
          <w:bCs/>
          <w:color w:val="2E5FA3"/>
          <w:sz w:val="28"/>
          <w:szCs w:val="28"/>
        </w:rPr>
        <w:t xml:space="preserve">Phase 4 — Vertical Expansion</w:t>
      </w:r>
    </w:p>
    <w:p>
      <w:pPr>
        <w:spacing w:before="80" w:after="120"/>
        <w:jc w:val="both"/>
      </w:pPr>
      <w:r>
        <w:rPr>
          <w:rFonts w:ascii="Arial" w:cs="Arial" w:eastAsia="Arial" w:hAnsi="Arial"/>
          <w:b w:val="false"/>
          <w:bCs w:val="false"/>
          <w:i w:val="false"/>
          <w:iCs w:val="false"/>
          <w:color w:val="1B2A4A"/>
          <w:sz w:val="22"/>
          <w:szCs w:val="22"/>
        </w:rPr>
        <w:t xml:space="preserve">Extract the domain-agnostic protocol layer from the software-specific implementation. Publish adapter specifications for education, sales, and other verticals. Enable third parties to build certified implementations under the ConfidenceNode Protocol umbrella.</w:t>
      </w:r>
    </w:p>
    <w:p>
      <w:pPr>
        <w:pStyle w:val="Heading2"/>
        <w:spacing w:before="300" w:after="120"/>
      </w:pPr>
      <w:r>
        <w:rPr>
          <w:rFonts w:ascii="Arial" w:cs="Arial" w:eastAsia="Arial" w:hAnsi="Arial"/>
          <w:b/>
          <w:bCs/>
          <w:color w:val="2E5FA3"/>
          <w:sz w:val="28"/>
          <w:szCs w:val="28"/>
        </w:rPr>
        <w:t xml:space="preserve">Phase 5 — Protocol Governance</w:t>
      </w:r>
    </w:p>
    <w:p>
      <w:pPr>
        <w:spacing w:before="80" w:after="120"/>
        <w:jc w:val="both"/>
      </w:pPr>
      <w:r>
        <w:rPr>
          <w:rFonts w:ascii="Arial" w:cs="Arial" w:eastAsia="Arial" w:hAnsi="Arial"/>
          <w:b w:val="false"/>
          <w:bCs w:val="false"/>
          <w:i w:val="false"/>
          <w:iCs w:val="false"/>
          <w:color w:val="1B2A4A"/>
          <w:sz w:val="22"/>
          <w:szCs w:val="22"/>
        </w:rPr>
        <w:t xml:space="preserve">Transfer protocol governance to a multi-stakeholder body analogous to W3C or IETF. ConfidenceNode0 retains the certification authority role but the protocol specification becomes a community standard. This is the long-term goal: a protocol that outlasts its originator.</w:t>
      </w:r>
    </w:p>
    <w:p>
      <w:pPr>
        <w:pBdr>
          <w:bottom w:val="single" w:color="CCCCCC" w:sz="4" w:space="1"/>
        </w:pBdr>
        <w:spacing w:before="200" w:after="200"/>
      </w:pPr>
      <w:r>
        <w:t xml:space="preserve"/>
      </w:r>
    </w:p>
    <w:p>
      <w:pPr>
        <w:pStyle w:val="Heading1"/>
        <w:pBdr>
          <w:bottom w:val="single" w:color="2E5FA3" w:sz="6" w:space="6"/>
        </w:pBdr>
        <w:spacing w:before="400" w:after="160"/>
      </w:pPr>
      <w:r>
        <w:rPr>
          <w:rFonts w:ascii="Arial" w:cs="Arial" w:eastAsia="Arial" w:hAnsi="Arial"/>
          <w:b/>
          <w:bCs/>
          <w:color w:val="1B2A4A"/>
          <w:sz w:val="36"/>
          <w:szCs w:val="36"/>
        </w:rPr>
        <w:t xml:space="preserve">A Note on Openness</w:t>
      </w:r>
    </w:p>
    <w:p>
      <w:pPr>
        <w:spacing w:before="80" w:after="120"/>
        <w:jc w:val="both"/>
      </w:pPr>
      <w:r>
        <w:rPr>
          <w:rFonts w:ascii="Arial" w:cs="Arial" w:eastAsia="Arial" w:hAnsi="Arial"/>
          <w:b w:val="false"/>
          <w:bCs w:val="false"/>
          <w:i w:val="false"/>
          <w:iCs w:val="false"/>
          <w:color w:val="1B2A4A"/>
          <w:sz w:val="22"/>
          <w:szCs w:val="22"/>
        </w:rPr>
        <w:t xml:space="preserve">This document describes the protocol in full. Nothing here is a trade secret. The reference implementation is GPL. The enforcement mechanisms rely on public verifiability, not obscurity.</w:t>
      </w:r>
    </w:p>
    <w:p>
      <w:pPr>
        <w:spacing w:before="80" w:after="120"/>
        <w:jc w:val="both"/>
      </w:pPr>
      <w:r>
        <w:rPr>
          <w:rFonts w:ascii="Arial" w:cs="Arial" w:eastAsia="Arial" w:hAnsi="Arial"/>
          <w:b w:val="false"/>
          <w:bCs w:val="false"/>
          <w:i w:val="false"/>
          <w:iCs w:val="false"/>
          <w:color w:val="1B2A4A"/>
          <w:sz w:val="22"/>
          <w:szCs w:val="22"/>
        </w:rPr>
        <w:t xml:space="preserve">This is consistent with the protocol's central claim: that transparency and protection are not in conflict. An agent can be fully transparent about how the system works while maintaining meaningful protection for the data the system generates. The protection comes from contracts, licenses, and social norms — not from hiding the mechanism.</w:t>
      </w:r>
    </w:p>
    <w:p>
      <w:pPr>
        <w:spacing w:before="80" w:after="120"/>
        <w:jc w:val="both"/>
      </w:pPr>
      <w:r>
        <w:rPr>
          <w:rFonts w:ascii="Arial" w:cs="Arial" w:eastAsia="Arial" w:hAnsi="Arial"/>
          <w:b w:val="false"/>
          <w:bCs w:val="false"/>
          <w:i w:val="false"/>
          <w:iCs w:val="false"/>
          <w:color w:val="1B2A4A"/>
          <w:sz w:val="22"/>
          <w:szCs w:val="22"/>
        </w:rPr>
        <w:t xml:space="preserve">We publish this whitepaper before the implementation is complete because the date of first publication matters more than the perfection of the document. The ideas here are intended to be cited, extended, criticized, and improved. That process requires them to exist publicly.</w:t>
      </w:r>
    </w:p>
    <w:p>
      <w:pPr>
        <w:pBdr>
          <w:left w:val="single" w:color="E8A020" w:sz="12" w:space="10"/>
        </w:pBdr>
        <w:spacing w:before="120" w:after="120"/>
        <w:ind w:left="720" w:right="720"/>
        <w:jc w:val="both"/>
      </w:pPr>
      <w:r>
        <w:rPr>
          <w:rFonts w:ascii="Arial" w:cs="Arial" w:eastAsia="Arial" w:hAnsi="Arial"/>
          <w:i/>
          <w:iCs/>
          <w:color w:val="555555"/>
          <w:sz w:val="22"/>
          <w:szCs w:val="22"/>
        </w:rPr>
        <w:t xml:space="preserve">"You cannot build a system of trust in secret."</w:t>
      </w:r>
    </w:p>
    <w:p>
      <w:pPr>
        <w:spacing w:before="80" w:after="120"/>
        <w:jc w:val="both"/>
      </w:pPr>
      <w:r>
        <w:rPr>
          <w:rFonts w:ascii="Arial" w:cs="Arial" w:eastAsia="Arial" w:hAnsi="Arial"/>
          <w:b w:val="false"/>
          <w:bCs w:val="false"/>
          <w:i w:val="false"/>
          <w:iCs w:val="false"/>
          <w:color w:val="1B2A4A"/>
          <w:sz w:val="22"/>
          <w:szCs w:val="22"/>
        </w:rPr>
        <w:t xml:space="preserve">Responses, critiques, and proposals for collaboration should be directed to: protocol@confidencenode.org</w:t>
      </w:r>
    </w:p>
    <w:p>
      <w:pPr>
        <w:spacing w:before="80" w:after="40"/>
      </w:pPr>
      <w:r>
        <w:rPr>
          <w:rFonts w:ascii="Arial" w:cs="Arial" w:eastAsia="Arial" w:hAnsi="Arial"/>
          <w:i/>
          <w:iCs/>
          <w:color w:val="888888"/>
          <w:sz w:val="20"/>
          <w:szCs w:val="20"/>
        </w:rPr>
        <w:t xml:space="preserve">— ConfidenceNode0 Core Team,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ConfidenceNode Protocol v0.1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2026-03-13T10:18:08.339Z</dcterms:created>
  <dcterms:modified xsi:type="dcterms:W3CDTF">2026-03-13T10:18:08.340Z</dcterms:modified>
</cp:coreProperties>
</file>

<file path=docProps/custom.xml><?xml version="1.0" encoding="utf-8"?>
<Properties xmlns="http://schemas.openxmlformats.org/officeDocument/2006/custom-properties" xmlns:vt="http://schemas.openxmlformats.org/officeDocument/2006/docPropsVTypes"/>
</file>