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B2A4A"/>
          <w:sz w:val="56"/>
          <w:szCs w:val="56"/>
        </w:rPr>
        <w:t xml:space="preserve">ConfidenceNode Protocol</w:t>
      </w:r>
    </w:p>
    <w:p>
      <w:pPr>
        <w:spacing w:before="0" w:after="60"/>
        <w:jc w:val="center"/>
      </w:pPr>
      <w:r>
        <w:rPr>
          <w:rFonts w:ascii="Arial" w:cs="Arial" w:eastAsia="Arial" w:hAnsi="Arial"/>
          <w:i/>
          <w:iCs/>
          <w:color w:val="999999"/>
          <w:sz w:val="22"/>
          <w:szCs w:val="22"/>
        </w:rPr>
        <w:t xml:space="preserve">README  ·  v0.1  ·  March 2026</w:t>
      </w:r>
    </w:p>
    <w:p>
      <w:pPr>
        <w:spacing w:before="0" w:after="400"/>
        <w:jc w:val="center"/>
      </w:pPr>
      <w:r>
        <w:rPr>
          <w:rFonts w:ascii="Arial" w:cs="Arial" w:eastAsia="Arial" w:hAnsi="Arial"/>
          <w:color w:val="4A7FC1"/>
          <w:sz w:val="22"/>
          <w:szCs w:val="22"/>
        </w:rPr>
        <w:t xml:space="preserve">github.com/confidencenode/protocol</w:t>
      </w:r>
    </w:p>
    <w:p>
      <w:pPr>
        <w:pStyle w:val="Heading1"/>
        <w:pBdr>
          <w:bottom w:val="single" w:color="2E5FA3" w:sz="6" w:space="6"/>
        </w:pBdr>
        <w:spacing w:before="400" w:after="160"/>
      </w:pPr>
      <w:r>
        <w:rPr>
          <w:rFonts w:ascii="Arial" w:cs="Arial" w:eastAsia="Arial" w:hAnsi="Arial"/>
          <w:b/>
          <w:bCs/>
          <w:color w:val="1B2A4A"/>
          <w:sz w:val="36"/>
          <w:szCs w:val="36"/>
        </w:rPr>
        <w:t xml:space="preserve">What is this?</w:t>
      </w:r>
    </w:p>
    <w:p>
      <w:pPr>
        <w:spacing w:before="80" w:after="120"/>
        <w:jc w:val="both"/>
      </w:pPr>
      <w:r>
        <w:rPr>
          <w:rFonts w:ascii="Arial" w:cs="Arial" w:eastAsia="Arial" w:hAnsi="Arial"/>
          <w:b w:val="false"/>
          <w:bCs w:val="false"/>
          <w:i w:val="false"/>
          <w:iCs w:val="false"/>
          <w:color w:val="1B2A4A"/>
          <w:sz w:val="22"/>
          <w:szCs w:val="22"/>
        </w:rPr>
        <w:t xml:space="preserve">ConfidenceNode Protocol is an open standard for honest collaborative estimation under information asymmetry.</w:t>
      </w:r>
    </w:p>
    <w:p>
      <w:pPr>
        <w:spacing w:before="80" w:after="120"/>
        <w:jc w:val="both"/>
      </w:pPr>
      <w:r>
        <w:rPr>
          <w:rFonts w:ascii="Arial" w:cs="Arial" w:eastAsia="Arial" w:hAnsi="Arial"/>
          <w:b w:val="false"/>
          <w:bCs w:val="false"/>
          <w:i w:val="false"/>
          <w:iCs w:val="false"/>
          <w:color w:val="1B2A4A"/>
          <w:sz w:val="22"/>
          <w:szCs w:val="22"/>
        </w:rPr>
        <w:t xml:space="preserve">When people work together and their individual uncertainty is measured — how long a task will take, how likely they are to succeed, how well they understand a concept — that measurement implicitly reveals sensitive information about each person. That information is currently unprotected.</w:t>
      </w:r>
    </w:p>
    <w:p>
      <w:pPr>
        <w:spacing w:before="80" w:after="120"/>
        <w:jc w:val="both"/>
      </w:pPr>
      <w:r>
        <w:rPr>
          <w:rFonts w:ascii="Arial" w:cs="Arial" w:eastAsia="Arial" w:hAnsi="Arial"/>
          <w:b w:val="false"/>
          <w:bCs w:val="false"/>
          <w:i w:val="false"/>
          <w:iCs w:val="false"/>
          <w:color w:val="1B2A4A"/>
          <w:sz w:val="22"/>
          <w:szCs w:val="22"/>
        </w:rPr>
        <w:t xml:space="preserve">The protocol defines how to measure uncertainty honestly, how to protect the resulting data from being used against the person who generated it, and how to use the aggregate signal to improve collective outcomes without exposing individuals.</w:t>
      </w:r>
    </w:p>
    <w:p>
      <w:pPr>
        <w:pBdr>
          <w:left w:val="single" w:color="E8A020" w:sz="12" w:space="10"/>
        </w:pBdr>
        <w:spacing w:before="140" w:after="140"/>
        <w:ind w:left="720" w:right="720"/>
        <w:jc w:val="both"/>
      </w:pPr>
      <w:r>
        <w:rPr>
          <w:rFonts w:ascii="Arial" w:cs="Arial" w:eastAsia="Arial" w:hAnsi="Arial"/>
          <w:i/>
          <w:iCs/>
          <w:color w:val="555555"/>
          <w:sz w:val="22"/>
          <w:szCs w:val="22"/>
        </w:rPr>
        <w:t xml:space="preserve">"The implicit information generated by honest estimation deserves the same protection as the explicit information covered by a confidentiality agreement."</w:t>
      </w:r>
    </w:p>
    <w:p>
      <w:pPr>
        <w:pStyle w:val="Heading1"/>
        <w:pBdr>
          <w:bottom w:val="single" w:color="2E5FA3" w:sz="6" w:space="6"/>
        </w:pBdr>
        <w:spacing w:before="400" w:after="160"/>
      </w:pPr>
      <w:r>
        <w:rPr>
          <w:rFonts w:ascii="Arial" w:cs="Arial" w:eastAsia="Arial" w:hAnsi="Arial"/>
          <w:b/>
          <w:bCs/>
          <w:color w:val="1B2A4A"/>
          <w:sz w:val="36"/>
          <w:szCs w:val="36"/>
        </w:rPr>
        <w:t xml:space="preserve">What problem does it solve?</w:t>
      </w:r>
    </w:p>
    <w:p>
      <w:pPr>
        <w:spacing w:before="80" w:after="120"/>
        <w:jc w:val="both"/>
      </w:pPr>
      <w:r>
        <w:rPr>
          <w:rFonts w:ascii="Arial" w:cs="Arial" w:eastAsia="Arial" w:hAnsi="Arial"/>
          <w:b w:val="false"/>
          <w:bCs w:val="false"/>
          <w:i w:val="false"/>
          <w:iCs w:val="false"/>
          <w:color w:val="1B2A4A"/>
          <w:sz w:val="22"/>
          <w:szCs w:val="22"/>
        </w:rPr>
        <w:t xml:space="preserve">Estimation in software, education, medicine, and most collaborative domains is systematically dishonest — not because people lie, but because honesty is structurally punished. When your estimate becomes your performance target, the rational strategy is to optimize for safety, not accuracy.</w:t>
      </w:r>
    </w:p>
    <w:p>
      <w:pPr>
        <w:spacing w:before="80" w:after="120"/>
        <w:jc w:val="both"/>
      </w:pPr>
      <w:r>
        <w:rPr>
          <w:rFonts w:ascii="Arial" w:cs="Arial" w:eastAsia="Arial" w:hAnsi="Arial"/>
          <w:b w:val="false"/>
          <w:bCs w:val="false"/>
          <w:i w:val="false"/>
          <w:iCs w:val="false"/>
          <w:color w:val="1B2A4A"/>
          <w:sz w:val="22"/>
          <w:szCs w:val="22"/>
        </w:rPr>
        <w:t xml:space="preserve">The result is planning built on noise. Projects overrun. Students fail silently. Teams lose trust.</w:t>
      </w:r>
    </w:p>
    <w:p>
      <w:pPr>
        <w:spacing w:before="80" w:after="120"/>
        <w:jc w:val="both"/>
      </w:pPr>
      <w:r>
        <w:rPr>
          <w:rFonts w:ascii="Arial" w:cs="Arial" w:eastAsia="Arial" w:hAnsi="Arial"/>
          <w:b w:val="false"/>
          <w:bCs w:val="false"/>
          <w:i w:val="false"/>
          <w:iCs w:val="false"/>
          <w:color w:val="1B2A4A"/>
          <w:sz w:val="22"/>
          <w:szCs w:val="22"/>
        </w:rPr>
        <w:t xml:space="preserve">The root cause is not a lack of better estimation techniques. It is the absence of a contract that makes honesty safe.</w:t>
      </w:r>
    </w:p>
    <w:p>
      <w:pPr>
        <w:pStyle w:val="Heading1"/>
        <w:pBdr>
          <w:bottom w:val="single" w:color="2E5FA3" w:sz="6" w:space="6"/>
        </w:pBdr>
        <w:spacing w:before="400" w:after="160"/>
      </w:pPr>
      <w:r>
        <w:rPr>
          <w:rFonts w:ascii="Arial" w:cs="Arial" w:eastAsia="Arial" w:hAnsi="Arial"/>
          <w:b/>
          <w:bCs/>
          <w:color w:val="1B2A4A"/>
          <w:sz w:val="36"/>
          <w:szCs w:val="36"/>
        </w:rPr>
        <w:t xml:space="preserve">How does it work?</w:t>
      </w:r>
    </w:p>
    <w:p>
      <w:pPr>
        <w:spacing w:before="80" w:after="120"/>
        <w:jc w:val="both"/>
      </w:pPr>
      <w:r>
        <w:rPr>
          <w:rFonts w:ascii="Arial" w:cs="Arial" w:eastAsia="Arial" w:hAnsi="Arial"/>
          <w:b w:val="false"/>
          <w:bCs w:val="false"/>
          <w:i w:val="false"/>
          <w:iCs w:val="false"/>
          <w:color w:val="1B2A4A"/>
          <w:sz w:val="22"/>
          <w:szCs w:val="22"/>
        </w:rPr>
        <w:t xml:space="preserve">The protocol has three technical components and two governance components:</w:t>
      </w:r>
    </w:p>
    <w:p>
      <w:pPr>
        <w:spacing w:before="100" w:after="0"/>
      </w:pPr>
    </w:p>
    <w:p>
      <w:pPr>
        <w:pStyle w:val="ListParagraph"/>
        <w:numPr>
          <w:ilvl w:val="0"/>
          <w:numId w:val="2"/>
        </w:numPr>
        <w:spacing w:before="60" w:after="60"/>
      </w:pPr>
      <w:r>
        <w:rPr>
          <w:rFonts w:ascii="Arial" w:cs="Arial" w:eastAsia="Arial" w:hAnsi="Arial"/>
          <w:b w:val="false"/>
          <w:bCs w:val="false"/>
          <w:color w:val="1B2A4A"/>
          <w:sz w:val="22"/>
          <w:szCs w:val="22"/>
        </w:rPr>
        <w:t xml:space="preserve">Bayesian homeostatic model — builds a latent profile of each agent from observed behavior over time, without asking them to self-report. The profile infers calibration, bias, uncertainty tolerance, and social anchoring.</w:t>
      </w:r>
    </w:p>
    <w:p>
      <w:pPr>
        <w:pStyle w:val="ListParagraph"/>
        <w:numPr>
          <w:ilvl w:val="0"/>
          <w:numId w:val="2"/>
        </w:numPr>
        <w:spacing w:before="60" w:after="60"/>
      </w:pPr>
      <w:r>
        <w:rPr>
          <w:rFonts w:ascii="Arial" w:cs="Arial" w:eastAsia="Arial" w:hAnsi="Arial"/>
          <w:b w:val="false"/>
          <w:bCs w:val="false"/>
          <w:color w:val="1B2A4A"/>
          <w:sz w:val="22"/>
          <w:szCs w:val="22"/>
        </w:rPr>
        <w:t xml:space="preserve">Local encrypted vault — all individual profiles are stored on the agent's own machine. The organization receives only aggregate outputs. No central server holds individual data.</w:t>
      </w:r>
    </w:p>
    <w:p>
      <w:pPr>
        <w:pStyle w:val="ListParagraph"/>
        <w:numPr>
          <w:ilvl w:val="0"/>
          <w:numId w:val="2"/>
        </w:numPr>
        <w:spacing w:before="60" w:after="60"/>
      </w:pPr>
      <w:r>
        <w:rPr>
          <w:rFonts w:ascii="Arial" w:cs="Arial" w:eastAsia="Arial" w:hAnsi="Arial"/>
          <w:b w:val="false"/>
          <w:bCs w:val="false"/>
          <w:color w:val="1B2A4A"/>
          <w:sz w:val="22"/>
          <w:szCs w:val="22"/>
        </w:rPr>
        <w:t xml:space="preserve">Cryptographic commitment scheme — estimates are sealed with HMAC before outcomes are observed, making retroactive manipulation impossible.</w:t>
      </w:r>
    </w:p>
    <w:p>
      <w:pPr>
        <w:pStyle w:val="ListParagraph"/>
        <w:numPr>
          <w:ilvl w:val="0"/>
          <w:numId w:val="2"/>
        </w:numPr>
        <w:spacing w:before="60" w:after="60"/>
      </w:pPr>
      <w:r>
        <w:rPr>
          <w:rFonts w:ascii="Arial" w:cs="Arial" w:eastAsia="Arial" w:hAnsi="Arial"/>
          <w:b w:val="false"/>
          <w:bCs w:val="false"/>
          <w:color w:val="1B2A4A"/>
          <w:sz w:val="22"/>
          <w:szCs w:val="22"/>
        </w:rPr>
        <w:t xml:space="preserve">GPL v3 license — acts as a technical CORS barrier. Any integration that extracts individual profile data to a proprietary system must publish its source under GPL. Violations are detectable by the engineering community.</w:t>
      </w:r>
    </w:p>
    <w:p>
      <w:pPr>
        <w:pStyle w:val="ListParagraph"/>
        <w:numPr>
          <w:ilvl w:val="0"/>
          <w:numId w:val="2"/>
        </w:numPr>
        <w:spacing w:before="60" w:after="60"/>
      </w:pPr>
      <w:r>
        <w:rPr>
          <w:rFonts w:ascii="Arial" w:cs="Arial" w:eastAsia="Arial" w:hAnsi="Arial"/>
          <w:b w:val="false"/>
          <w:bCs w:val="false"/>
          <w:color w:val="1B2A4A"/>
          <w:sz w:val="22"/>
          <w:szCs w:val="22"/>
        </w:rPr>
        <w:t xml:space="preserve">ConfidenceNode0 certification — organizations that commit contractually to not exploit estimation data carry a public seal. The seal is free for committed organizations, expensive for others.</w:t>
      </w:r>
    </w:p>
    <w:p>
      <w:pPr>
        <w:pStyle w:val="Heading1"/>
        <w:pBdr>
          <w:bottom w:val="single" w:color="2E5FA3" w:sz="6" w:space="6"/>
        </w:pBdr>
        <w:spacing w:before="400" w:after="160"/>
      </w:pPr>
      <w:r>
        <w:rPr>
          <w:rFonts w:ascii="Arial" w:cs="Arial" w:eastAsia="Arial" w:hAnsi="Arial"/>
          <w:b/>
          <w:bCs/>
          <w:color w:val="1B2A4A"/>
          <w:sz w:val="36"/>
          <w:szCs w:val="36"/>
        </w:rPr>
        <w:t xml:space="preserve">Three products, one protocol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Product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Audience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Core message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B2A4A"/>
                <w:sz w:val="20"/>
                <w:szCs w:val="20"/>
              </w:rPr>
              <w:t xml:space="preserve">ConfidenceNode Protocol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B2A4A"/>
                <w:sz w:val="20"/>
                <w:szCs w:val="20"/>
              </w:rPr>
              <w:t xml:space="preserve">CTOs, legal, institutional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B2A4A"/>
                <w:sz w:val="20"/>
                <w:szCs w:val="20"/>
              </w:rPr>
              <w:t xml:space="preserve">A citable standard for honest estimation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color w:val="1B2A4A"/>
                <w:sz w:val="20"/>
                <w:szCs w:val="20"/>
              </w:rPr>
              <w:t xml:space="preserve">LiveProof</w:t>
            </w:r>
          </w:p>
        </w:tc>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color w:val="1B2A4A"/>
                <w:sz w:val="20"/>
                <w:szCs w:val="20"/>
              </w:rPr>
              <w:t xml:space="preserve">Developers, students</w:t>
            </w:r>
          </w:p>
        </w:tc>
        <w:tc>
          <w:tcPr>
            <w:tcW w:type="dxa" w:w="416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r>
              <w:rPr>
                <w:rFonts w:ascii="Arial" w:cs="Arial" w:eastAsia="Arial" w:hAnsi="Arial"/>
                <w:color w:val="1B2A4A"/>
                <w:sz w:val="20"/>
                <w:szCs w:val="20"/>
              </w:rPr>
              <w:t xml:space="preserve">Prove your calibration without exposing yourself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B2A4A"/>
                <w:sz w:val="20"/>
                <w:szCs w:val="20"/>
              </w:rPr>
              <w:t xml:space="preserve">Watershed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B2A4A"/>
                <w:sz w:val="20"/>
                <w:szCs w:val="20"/>
              </w:rPr>
              <w:t xml:space="preserve">Privacy-conscious users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B2A4A"/>
                <w:sz w:val="20"/>
                <w:szCs w:val="20"/>
              </w:rPr>
              <w:t xml:space="preserve">Information flows freely — but never crosses</w:t>
            </w:r>
          </w:p>
        </w:tc>
      </w:tr>
    </w:tbl>
    <w:p>
      <w:pPr>
        <w:spacing w:before="160" w:after="0"/>
      </w:pPr>
    </w:p>
    <w:p>
      <w:pPr>
        <w:spacing w:before="80" w:after="120"/>
        <w:jc w:val="both"/>
      </w:pPr>
      <w:r>
        <w:rPr>
          <w:rFonts w:ascii="Arial" w:cs="Arial" w:eastAsia="Arial" w:hAnsi="Arial"/>
          <w:b w:val="false"/>
          <w:bCs w:val="false"/>
          <w:i w:val="false"/>
          <w:iCs w:val="false"/>
          <w:color w:val="1B2A4A"/>
          <w:sz w:val="22"/>
          <w:szCs w:val="22"/>
        </w:rPr>
        <w:t xml:space="preserve">All three products are implementations of the same protocol. The difference is audience and tone, not architecture.</w:t>
      </w:r>
    </w:p>
    <w:p>
      <w:pPr>
        <w:pStyle w:val="Heading1"/>
        <w:pBdr>
          <w:bottom w:val="single" w:color="2E5FA3" w:sz="6" w:space="6"/>
        </w:pBdr>
        <w:spacing w:before="400" w:after="160"/>
      </w:pPr>
      <w:r>
        <w:rPr>
          <w:rFonts w:ascii="Arial" w:cs="Arial" w:eastAsia="Arial" w:hAnsi="Arial"/>
          <w:b/>
          <w:bCs/>
          <w:color w:val="1B2A4A"/>
          <w:sz w:val="36"/>
          <w:szCs w:val="36"/>
        </w:rPr>
        <w:t xml:space="preserve">Reference implementation</w:t>
      </w:r>
    </w:p>
    <w:p>
      <w:pPr>
        <w:spacing w:before="80" w:after="120"/>
        <w:jc w:val="both"/>
      </w:pPr>
      <w:r>
        <w:rPr>
          <w:rFonts w:ascii="Arial" w:cs="Arial" w:eastAsia="Arial" w:hAnsi="Arial"/>
          <w:b w:val="false"/>
          <w:bCs w:val="false"/>
          <w:i w:val="false"/>
          <w:iCs w:val="false"/>
          <w:color w:val="1B2A4A"/>
          <w:sz w:val="22"/>
          <w:szCs w:val="22"/>
        </w:rPr>
        <w:t xml:space="preserve">ctx-v2 is the first software to implement the ConfidenceNode Protocol. It is a local CLI tool for software teams, written in Python, with a SQLite backend and no telemetry.</w:t>
      </w:r>
    </w:p>
    <w:p>
      <w:pPr>
        <w:pStyle w:val="ListParagraph"/>
        <w:numPr>
          <w:ilvl w:val="0"/>
          <w:numId w:val="2"/>
        </w:numPr>
        <w:spacing w:before="60" w:after="60"/>
      </w:pPr>
      <w:r>
        <w:rPr>
          <w:rFonts w:ascii="Arial" w:cs="Arial" w:eastAsia="Arial" w:hAnsi="Arial"/>
          <w:b w:val="false"/>
          <w:bCs w:val="false"/>
          <w:color w:val="1B2A4A"/>
          <w:sz w:val="22"/>
          <w:szCs w:val="22"/>
        </w:rPr>
        <w:t xml:space="preserve">Language: Python 3.12</w:t>
      </w:r>
    </w:p>
    <w:p>
      <w:pPr>
        <w:pStyle w:val="ListParagraph"/>
        <w:numPr>
          <w:ilvl w:val="0"/>
          <w:numId w:val="2"/>
        </w:numPr>
        <w:spacing w:before="60" w:after="60"/>
      </w:pPr>
      <w:r>
        <w:rPr>
          <w:rFonts w:ascii="Arial" w:cs="Arial" w:eastAsia="Arial" w:hAnsi="Arial"/>
          <w:b w:val="false"/>
          <w:bCs w:val="false"/>
          <w:color w:val="1B2A4A"/>
          <w:sz w:val="22"/>
          <w:szCs w:val="22"/>
        </w:rPr>
        <w:t xml:space="preserve">License: GPL v3</w:t>
      </w:r>
    </w:p>
    <w:p>
      <w:pPr>
        <w:pStyle w:val="ListParagraph"/>
        <w:numPr>
          <w:ilvl w:val="0"/>
          <w:numId w:val="2"/>
        </w:numPr>
        <w:spacing w:before="60" w:after="60"/>
      </w:pPr>
      <w:r>
        <w:rPr>
          <w:rFonts w:ascii="Arial" w:cs="Arial" w:eastAsia="Arial" w:hAnsi="Arial"/>
          <w:b w:val="false"/>
          <w:bCs w:val="false"/>
          <w:color w:val="1B2A4A"/>
          <w:sz w:val="22"/>
          <w:szCs w:val="22"/>
        </w:rPr>
        <w:t xml:space="preserve">Database: SQLite (local, encrypted vault)</w:t>
      </w:r>
    </w:p>
    <w:p>
      <w:pPr>
        <w:pStyle w:val="ListParagraph"/>
        <w:numPr>
          <w:ilvl w:val="0"/>
          <w:numId w:val="2"/>
        </w:numPr>
        <w:spacing w:before="60" w:after="60"/>
      </w:pPr>
      <w:r>
        <w:rPr>
          <w:rFonts w:ascii="Arial" w:cs="Arial" w:eastAsia="Arial" w:hAnsi="Arial"/>
          <w:b w:val="false"/>
          <w:bCs w:val="false"/>
          <w:color w:val="1B2A4A"/>
          <w:sz w:val="22"/>
          <w:szCs w:val="22"/>
        </w:rPr>
        <w:t xml:space="preserve">Tests: 1,413 passing</w:t>
      </w:r>
    </w:p>
    <w:p>
      <w:pPr>
        <w:pStyle w:val="ListParagraph"/>
        <w:numPr>
          <w:ilvl w:val="0"/>
          <w:numId w:val="2"/>
        </w:numPr>
        <w:spacing w:before="60" w:after="60"/>
      </w:pPr>
      <w:r>
        <w:rPr>
          <w:rFonts w:ascii="Arial" w:cs="Arial" w:eastAsia="Arial" w:hAnsi="Arial"/>
          <w:b w:val="false"/>
          <w:bCs w:val="false"/>
          <w:color w:val="1B2A4A"/>
          <w:sz w:val="22"/>
          <w:szCs w:val="22"/>
        </w:rPr>
        <w:t xml:space="preserve">Repository: github.com/confidencenode/ctx-v2</w:t>
      </w:r>
    </w:p>
    <w:p>
      <w:pPr>
        <w:spacing w:before="80" w:after="120"/>
        <w:jc w:val="both"/>
      </w:pPr>
      <w:r>
        <w:rPr>
          <w:rFonts w:ascii="Arial" w:cs="Arial" w:eastAsia="Arial" w:hAnsi="Arial"/>
          <w:b w:val="false"/>
          <w:bCs w:val="false"/>
          <w:i w:val="false"/>
          <w:iCs w:val="false"/>
          <w:color w:val="1B2A4A"/>
          <w:sz w:val="22"/>
          <w:szCs w:val="22"/>
        </w:rPr>
        <w:t xml:space="preserve">ctx-v2 is not a finished product. It is a working proof of concept that demonstrates the protocol is implementable, measurable, and useful. It carries the first ConfidenceNode0 seal as the reference implementation.</w:t>
      </w:r>
    </w:p>
    <w:p>
      <w:pPr>
        <w:pStyle w:val="Heading1"/>
        <w:pBdr>
          <w:bottom w:val="single" w:color="2E5FA3" w:sz="6" w:space="6"/>
        </w:pBdr>
        <w:spacing w:before="400" w:after="160"/>
      </w:pPr>
      <w:r>
        <w:rPr>
          <w:rFonts w:ascii="Arial" w:cs="Arial" w:eastAsia="Arial" w:hAnsi="Arial"/>
          <w:b/>
          <w:bCs/>
          <w:color w:val="1B2A4A"/>
          <w:sz w:val="36"/>
          <w:szCs w:val="36"/>
        </w:rPr>
        <w:t xml:space="preserve">Who is ConfidenceNode0?</w:t>
      </w:r>
    </w:p>
    <w:p>
      <w:pPr>
        <w:spacing w:before="80" w:after="120"/>
        <w:jc w:val="both"/>
      </w:pPr>
      <w:r>
        <w:rPr>
          <w:rFonts w:ascii="Arial" w:cs="Arial" w:eastAsia="Arial" w:hAnsi="Arial"/>
          <w:b w:val="false"/>
          <w:bCs w:val="false"/>
          <w:i w:val="false"/>
          <w:iCs w:val="false"/>
          <w:color w:val="1B2A4A"/>
          <w:sz w:val="22"/>
          <w:szCs w:val="22"/>
        </w:rPr>
        <w:t xml:space="preserve">ConfidenceNode0 is the certification authority that issues the protocol seal. It is not a software company. It does not own or control ctx-v2 or any other implementation. Its sole function is to certify that an organization or software product complies with the protocol's principles.</w:t>
      </w:r>
    </w:p>
    <w:p>
      <w:pPr>
        <w:spacing w:before="80" w:after="120"/>
        <w:jc w:val="both"/>
      </w:pPr>
      <w:r>
        <w:rPr>
          <w:rFonts w:ascii="Arial" w:cs="Arial" w:eastAsia="Arial" w:hAnsi="Arial"/>
          <w:b w:val="false"/>
          <w:bCs w:val="false"/>
          <w:i w:val="false"/>
          <w:iCs w:val="false"/>
          <w:color w:val="1B2A4A"/>
          <w:sz w:val="22"/>
          <w:szCs w:val="22"/>
        </w:rPr>
        <w:t xml:space="preserve">The seal is a public commitment, signed and timestamped. Organizations that hold it agree to submit protocol disputes to an independent intermediary, not to internal HR processes.</w:t>
      </w:r>
    </w:p>
    <w:p>
      <w:pPr>
        <w:spacing w:before="80" w:after="120"/>
        <w:jc w:val="both"/>
      </w:pPr>
      <w:r>
        <w:rPr>
          <w:rFonts w:ascii="Arial" w:cs="Arial" w:eastAsia="Arial" w:hAnsi="Arial"/>
          <w:b w:val="false"/>
          <w:bCs w:val="false"/>
          <w:i w:val="false"/>
          <w:iCs w:val="false"/>
          <w:color w:val="1B2A4A"/>
          <w:sz w:val="22"/>
          <w:szCs w:val="22"/>
        </w:rPr>
        <w:t xml:space="preserve">The long-term goal is to transfer protocol governance to a multi-stakeholder body, similar to W3C or IETF. ConfidenceNode0 will retain the certification role, but the protocol specification will become a community standard.</w:t>
      </w:r>
    </w:p>
    <w:p>
      <w:pPr>
        <w:pBdr>
          <w:bottom w:val="single" w:color="CCCCCC" w:sz="4" w:space="1"/>
        </w:pBdr>
        <w:spacing w:before="200" w:after="200"/>
      </w:pPr>
      <w:r>
        <w:t xml:space="preserve"/>
      </w:r>
    </w:p>
    <w:p>
      <w:pPr>
        <w:pageBreakBefore/>
      </w:pPr>
    </w:p>
    <w:p>
      <w:pPr>
        <w:spacing w:before="400" w:after="80"/>
        <w:jc w:val="center"/>
      </w:pPr>
      <w:r>
        <w:rPr>
          <w:rFonts w:ascii="Arial" w:cs="Arial" w:eastAsia="Arial" w:hAnsi="Arial"/>
          <w:b/>
          <w:bCs/>
          <w:color w:val="1B2A4A"/>
          <w:sz w:val="48"/>
          <w:szCs w:val="48"/>
        </w:rPr>
        <w:t xml:space="preserve">The ConfidenceNode Decalogue</w:t>
      </w:r>
    </w:p>
    <w:p>
      <w:pPr>
        <w:spacing w:before="0" w:after="120"/>
        <w:jc w:val="center"/>
      </w:pPr>
      <w:r>
        <w:rPr>
          <w:rFonts w:ascii="Arial" w:cs="Arial" w:eastAsia="Arial" w:hAnsi="Arial"/>
          <w:i/>
          <w:iCs/>
          <w:color w:val="999999"/>
          <w:sz w:val="22"/>
          <w:szCs w:val="22"/>
        </w:rPr>
        <w:t xml:space="preserve">Ten principles for honest estimation under information asymmetry</w:t>
      </w:r>
    </w:p>
    <w:p>
      <w:pPr>
        <w:spacing w:before="0" w:after="400"/>
        <w:jc w:val="center"/>
      </w:pPr>
      <w:r>
        <w:rPr>
          <w:rFonts w:ascii="Arial" w:cs="Arial" w:eastAsia="Arial" w:hAnsi="Arial"/>
          <w:color w:val="555555"/>
          <w:sz w:val="20"/>
          <w:szCs w:val="20"/>
        </w:rPr>
        <w:t xml:space="preserve">Organizations that hold the ConfidenceNode0 seal commit to all 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I</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Estimation data belongs to the estimator.</w:t>
            </w:r>
          </w:p>
          <w:p>
            <w:pPr>
              <w:spacing w:before="0" w:after="80"/>
            </w:pPr>
            <w:r>
              <w:rPr>
                <w:rFonts w:ascii="Arial" w:cs="Arial" w:eastAsia="Arial" w:hAnsi="Arial"/>
                <w:color w:val="555555"/>
                <w:sz w:val="20"/>
                <w:szCs w:val="20"/>
              </w:rPr>
              <w:t xml:space="preserve">The implicit information generated by honest estimation — uncertainty intervals, confidence levels, behavioral patterns — is the intellectual property of the person who generated it, not of the organization that collected it.</w:t>
            </w:r>
          </w:p>
          <w:p>
            <w:pPr>
              <w:spacing w:before="0" w:after="0"/>
            </w:pPr>
            <w:r>
              <w:rPr>
                <w:rFonts w:ascii="Arial" w:cs="Arial" w:eastAsia="Arial" w:hAnsi="Arial"/>
                <w:i/>
                <w:iCs/>
                <w:color w:val="999999"/>
                <w:sz w:val="18"/>
                <w:szCs w:val="18"/>
              </w:rPr>
              <w:t xml:space="preserve">○ Roadmap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II</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Honesty must be structurally safe, not just encouraged.</w:t>
            </w:r>
          </w:p>
          <w:p>
            <w:pPr>
              <w:spacing w:before="0" w:after="80"/>
            </w:pPr>
            <w:r>
              <w:rPr>
                <w:rFonts w:ascii="Arial" w:cs="Arial" w:eastAsia="Arial" w:hAnsi="Arial"/>
                <w:color w:val="555555"/>
                <w:sz w:val="20"/>
                <w:szCs w:val="20"/>
              </w:rPr>
              <w:t xml:space="preserve">A system that asks for honest estimates without protecting the estimator from the consequences of honesty will produce strategic estimates, not accurate ones. Protocol design, not culture, creates safety.</w:t>
            </w:r>
          </w:p>
          <w:p>
            <w:pPr>
              <w:spacing w:before="0" w:after="0"/>
            </w:pPr>
            <w:r>
              <w:rPr>
                <w:rFonts w:ascii="Arial" w:cs="Arial" w:eastAsia="Arial" w:hAnsi="Arial"/>
                <w:i/>
                <w:iCs/>
                <w:color w:val="1A6B3C"/>
                <w:sz w:val="18"/>
                <w:szCs w:val="18"/>
              </w:rPr>
              <w:t xml:space="preserve">✓ Implemented in ctx-v2</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III</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Uncertainty is information, not incompetence.</w:t>
            </w:r>
          </w:p>
          <w:p>
            <w:pPr>
              <w:spacing w:before="0" w:after="80"/>
            </w:pPr>
            <w:r>
              <w:rPr>
                <w:rFonts w:ascii="Arial" w:cs="Arial" w:eastAsia="Arial" w:hAnsi="Arial"/>
                <w:color w:val="555555"/>
                <w:sz w:val="20"/>
                <w:szCs w:val="20"/>
              </w:rPr>
              <w:t xml:space="preserve">A wide confidence interval (P20=2h, P80=8h) reflects an honest assessment of a genuinely uncertain task. It must never be interpreted as a performance deficiency. Systems that penalize declared uncertainty will receive falsely narrow intervals.</w:t>
            </w:r>
          </w:p>
          <w:p>
            <w:pPr>
              <w:spacing w:before="0" w:after="0"/>
            </w:pPr>
            <w:r>
              <w:rPr>
                <w:rFonts w:ascii="Arial" w:cs="Arial" w:eastAsia="Arial" w:hAnsi="Arial"/>
                <w:i/>
                <w:iCs/>
                <w:color w:val="1A6B3C"/>
                <w:sz w:val="18"/>
                <w:szCs w:val="18"/>
              </w:rPr>
              <w:t xml:space="preserve">✓ Implemented in ctx-v2</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IV</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The model is opaque to the employer.</w:t>
            </w:r>
          </w:p>
          <w:p>
            <w:pPr>
              <w:spacing w:before="0" w:after="80"/>
            </w:pPr>
            <w:r>
              <w:rPr>
                <w:rFonts w:ascii="Arial" w:cs="Arial" w:eastAsia="Arial" w:hAnsi="Arial"/>
                <w:color w:val="555555"/>
                <w:sz w:val="20"/>
                <w:szCs w:val="20"/>
              </w:rPr>
              <w:t xml:space="preserve">Individual behavioral profiles — calibration indices, bias parameters, uncertainty tolerance scores — are stored locally and encrypted. Organizations receive aggregate outputs, not individual profiles. This is non-negotiable.</w:t>
            </w:r>
          </w:p>
          <w:p>
            <w:pPr>
              <w:spacing w:before="0" w:after="0"/>
            </w:pPr>
            <w:r>
              <w:rPr>
                <w:rFonts w:ascii="Arial" w:cs="Arial" w:eastAsia="Arial" w:hAnsi="Arial"/>
                <w:i/>
                <w:iCs/>
                <w:color w:val="1A6B3C"/>
                <w:sz w:val="18"/>
                <w:szCs w:val="18"/>
              </w:rPr>
              <w:t xml:space="preserve">✓ Implemented in ctx-v2</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V</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No proprietary extraction pipes.</w:t>
            </w:r>
          </w:p>
          <w:p>
            <w:pPr>
              <w:spacing w:before="0" w:after="80"/>
            </w:pPr>
            <w:r>
              <w:rPr>
                <w:rFonts w:ascii="Arial" w:cs="Arial" w:eastAsia="Arial" w:hAnsi="Arial"/>
                <w:color w:val="555555"/>
                <w:sz w:val="20"/>
                <w:szCs w:val="20"/>
              </w:rPr>
              <w:t xml:space="preserve">Any integration that routes individual estimation data from a ConfidenceNode-compliant system into proprietary HR, performance management, or analytics platforms must publish its source code under GPL v3. Closed extraction violates the protocol.</w:t>
            </w:r>
          </w:p>
          <w:p>
            <w:pPr>
              <w:spacing w:before="0" w:after="0"/>
            </w:pPr>
            <w:r>
              <w:rPr>
                <w:rFonts w:ascii="Arial" w:cs="Arial" w:eastAsia="Arial" w:hAnsi="Arial"/>
                <w:i/>
                <w:iCs/>
                <w:color w:val="1A6B3C"/>
                <w:sz w:val="18"/>
                <w:szCs w:val="18"/>
              </w:rPr>
              <w:t xml:space="preserve">✓ Implemented in ctx-v2</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VI</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Disputes are resolved by independent intermediaries.</w:t>
            </w:r>
          </w:p>
          <w:p>
            <w:pPr>
              <w:spacing w:before="0" w:after="80"/>
            </w:pPr>
            <w:r>
              <w:rPr>
                <w:rFonts w:ascii="Arial" w:cs="Arial" w:eastAsia="Arial" w:hAnsi="Arial"/>
                <w:color w:val="555555"/>
                <w:sz w:val="20"/>
                <w:szCs w:val="20"/>
              </w:rPr>
              <w:t xml:space="preserve">Allegations of protocol violation — including use of estimation data in performance reviews, compensation decisions, or termination — are resolved by a contracted independent intermediary. The employer is not the arbiter of its own compliance.</w:t>
            </w:r>
          </w:p>
          <w:p>
            <w:pPr>
              <w:spacing w:before="0" w:after="0"/>
            </w:pPr>
            <w:r>
              <w:rPr>
                <w:rFonts w:ascii="Arial" w:cs="Arial" w:eastAsia="Arial" w:hAnsi="Arial"/>
                <w:i/>
                <w:iCs/>
                <w:color w:val="999999"/>
                <w:sz w:val="18"/>
                <w:szCs w:val="18"/>
              </w:rPr>
              <w:t xml:space="preserve">○ Roadmap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VII</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Performance gains are shared.</w:t>
            </w:r>
          </w:p>
          <w:p>
            <w:pPr>
              <w:spacing w:before="0" w:after="80"/>
            </w:pPr>
            <w:r>
              <w:rPr>
                <w:rFonts w:ascii="Arial" w:cs="Arial" w:eastAsia="Arial" w:hAnsi="Arial"/>
                <w:color w:val="555555"/>
                <w:sz w:val="20"/>
                <w:szCs w:val="20"/>
              </w:rPr>
              <w:t xml:space="preserve">When honest estimation demonstrably improves project predictability and generates economic value, that value is shared between the organization and the estimators whose honesty produced it. The proposed split is 50/50.</w:t>
            </w:r>
          </w:p>
          <w:p>
            <w:pPr>
              <w:spacing w:before="0" w:after="0"/>
            </w:pPr>
            <w:r>
              <w:rPr>
                <w:rFonts w:ascii="Arial" w:cs="Arial" w:eastAsia="Arial" w:hAnsi="Arial"/>
                <w:i/>
                <w:iCs/>
                <w:color w:val="999999"/>
                <w:sz w:val="18"/>
                <w:szCs w:val="18"/>
              </w:rPr>
              <w:t xml:space="preserve">○ Roadmap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VIII</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Disclosure integrity is enforced silently.</w:t>
            </w:r>
          </w:p>
          <w:p>
            <w:pPr>
              <w:spacing w:before="0" w:after="80"/>
            </w:pPr>
            <w:r>
              <w:rPr>
                <w:rFonts w:ascii="Arial" w:cs="Arial" w:eastAsia="Arial" w:hAnsi="Arial"/>
                <w:color w:val="555555"/>
                <w:sz w:val="20"/>
                <w:szCs w:val="20"/>
              </w:rPr>
              <w:t xml:space="preserve">Agents who leak others' private estimates — whether through explicit disclosure or through behavioral patterns that imply access to protected information — are automatically de-weighted in collective estimates. No confrontation, no punishment, no formal process.</w:t>
            </w:r>
          </w:p>
          <w:p>
            <w:pPr>
              <w:spacing w:before="0" w:after="0"/>
            </w:pPr>
            <w:r>
              <w:rPr>
                <w:rFonts w:ascii="Arial" w:cs="Arial" w:eastAsia="Arial" w:hAnsi="Arial"/>
                <w:i/>
                <w:iCs/>
                <w:color w:val="E8A020"/>
                <w:sz w:val="18"/>
                <w:szCs w:val="18"/>
              </w:rPr>
              <w:t xml:space="preserve">~ Partially implemented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IX</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The protocol is domain-agnostic.</w:t>
            </w:r>
          </w:p>
          <w:p>
            <w:pPr>
              <w:spacing w:before="0" w:after="80"/>
            </w:pPr>
            <w:r>
              <w:rPr>
                <w:rFonts w:ascii="Arial" w:cs="Arial" w:eastAsia="Arial" w:hAnsi="Arial"/>
                <w:color w:val="555555"/>
                <w:sz w:val="20"/>
                <w:szCs w:val="20"/>
              </w:rPr>
              <w:t xml:space="preserve">The same principles apply wherever collaborative work involves information asymmetry: software engineering, education, medicine, law, sales. Implementations may differ; the principles do not.</w:t>
            </w:r>
          </w:p>
          <w:p>
            <w:pPr>
              <w:spacing w:before="0" w:after="0"/>
            </w:pPr>
            <w:r>
              <w:rPr>
                <w:rFonts w:ascii="Arial" w:cs="Arial" w:eastAsia="Arial" w:hAnsi="Arial"/>
                <w:i/>
                <w:iCs/>
                <w:color w:val="E8A020"/>
                <w:sz w:val="18"/>
                <w:szCs w:val="18"/>
              </w:rPr>
              <w:t xml:space="preserve">~ Partially implemented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800"/>
        <w:gridCol w:w="8560"/>
      </w:tblGrid>
      <w:tr>
        <w:tc>
          <w:tcPr>
            <w:tcW w:type="dxa" w:w="800"/>
            <w:tcBorders>
              <w:top w:val="single" w:color="CCCCCC" w:sz="1"/>
              <w:left w:val="single" w:color="CCCCCC" w:sz="1"/>
              <w:bottom w:val="single" w:color="CCCCCC" w:sz="1"/>
              <w:right w:val="single" w:color="CCCCCC"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40"/>
                <w:szCs w:val="40"/>
              </w:rPr>
              <w:t xml:space="preserve">X</w:t>
            </w:r>
          </w:p>
        </w:tc>
        <w:tc>
          <w:tcPr>
            <w:tcW w:type="dxa" w:w="85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160"/>
            </w:tcMar>
          </w:tcPr>
          <w:p>
            <w:pPr>
              <w:spacing w:before="0" w:after="60"/>
            </w:pPr>
            <w:r>
              <w:rPr>
                <w:rFonts w:ascii="Arial" w:cs="Arial" w:eastAsia="Arial" w:hAnsi="Arial"/>
                <w:b/>
                <w:bCs/>
                <w:color w:val="1B2A4A"/>
                <w:sz w:val="24"/>
                <w:szCs w:val="24"/>
              </w:rPr>
              <w:t xml:space="preserve">Transparency about the system is not optional.</w:t>
            </w:r>
          </w:p>
          <w:p>
            <w:pPr>
              <w:spacing w:before="0" w:after="80"/>
            </w:pPr>
            <w:r>
              <w:rPr>
                <w:rFonts w:ascii="Arial" w:cs="Arial" w:eastAsia="Arial" w:hAnsi="Arial"/>
                <w:color w:val="555555"/>
                <w:sz w:val="20"/>
                <w:szCs w:val="20"/>
              </w:rPr>
              <w:t xml:space="preserve">Every participant in a ConfidenceNode-compliant process must know that the system exists, that it builds a behavioral model, and that the model is protected. Covert profiling — even with protective intent — violates the protocol.</w:t>
            </w:r>
          </w:p>
          <w:p>
            <w:pPr>
              <w:spacing w:before="0" w:after="0"/>
            </w:pPr>
            <w:r>
              <w:rPr>
                <w:rFonts w:ascii="Arial" w:cs="Arial" w:eastAsia="Arial" w:hAnsi="Arial"/>
                <w:i/>
                <w:iCs/>
                <w:color w:val="999999"/>
                <w:sz w:val="18"/>
                <w:szCs w:val="18"/>
              </w:rPr>
              <w:t xml:space="preserve">○ Roadmap</w:t>
            </w:r>
          </w:p>
        </w:tc>
      </w:tr>
    </w:tbl>
    <w:p>
      <w:pPr>
        <w:spacing w:before="200" w:after="0"/>
      </w:pPr>
    </w:p>
    <w:p>
      <w:pPr>
        <w:pBdr>
          <w:bottom w:val="single" w:color="CCCCCC" w:sz="4" w:space="1"/>
        </w:pBdr>
        <w:spacing w:before="200" w:after="200"/>
      </w:pPr>
      <w:r>
        <w:t xml:space="preserve"/>
      </w:r>
    </w:p>
    <w:p>
      <w:pPr>
        <w:spacing w:before="80" w:after="120"/>
        <w:jc w:val="center"/>
      </w:pPr>
      <w:r>
        <w:rPr>
          <w:rFonts w:ascii="Arial" w:cs="Arial" w:eastAsia="Arial" w:hAnsi="Arial"/>
          <w:b w:val="false"/>
          <w:bCs w:val="false"/>
          <w:i w:val="false"/>
          <w:iCs w:val="false"/>
          <w:color w:val="999999"/>
          <w:sz w:val="18"/>
          <w:szCs w:val="18"/>
        </w:rPr>
        <w:t xml:space="preserve">ConfidenceNode Protocol is published under GPL v3.</w:t>
      </w:r>
    </w:p>
    <w:p>
      <w:pPr>
        <w:spacing w:before="80" w:after="120"/>
        <w:jc w:val="center"/>
      </w:pPr>
      <w:r>
        <w:rPr>
          <w:rFonts w:ascii="Arial" w:cs="Arial" w:eastAsia="Arial" w:hAnsi="Arial"/>
          <w:b w:val="false"/>
          <w:bCs w:val="false"/>
          <w:i/>
          <w:iCs/>
          <w:color w:val="999999"/>
          <w:sz w:val="18"/>
          <w:szCs w:val="18"/>
        </w:rPr>
        <w:t xml:space="preserve">The decalogue is in the public domain. Copy it, translate it, adapt it.</w:t>
      </w:r>
    </w:p>
    <w:p>
      <w:pPr>
        <w:spacing w:before="80" w:after="120"/>
        <w:jc w:val="center"/>
      </w:pPr>
      <w:r>
        <w:rPr>
          <w:rFonts w:ascii="Arial" w:cs="Arial" w:eastAsia="Arial" w:hAnsi="Arial"/>
          <w:b w:val="false"/>
          <w:bCs w:val="false"/>
          <w:i w:val="false"/>
          <w:iCs w:val="false"/>
          <w:color w:val="4A7FC1"/>
          <w:sz w:val="18"/>
          <w:szCs w:val="18"/>
        </w:rPr>
        <w:t xml:space="preserve">protocol@confidencenode.org  ·  confidencenode.org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ConfidenceNode Protocol  —  confidencenode.org  —  GPL v3  —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2026-03-13T10:40:56.690Z</dcterms:created>
  <dcterms:modified xsi:type="dcterms:W3CDTF">2026-03-13T10:40:56.691Z</dcterms:modified>
</cp:coreProperties>
</file>

<file path=docProps/custom.xml><?xml version="1.0" encoding="utf-8"?>
<Properties xmlns="http://schemas.openxmlformats.org/officeDocument/2006/custom-properties" xmlns:vt="http://schemas.openxmlformats.org/officeDocument/2006/docPropsVTypes"/>
</file>