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80"/>
        <w:jc w:val="center"/>
      </w:pPr>
      <w:r>
        <w:rPr>
          <w:rFonts w:ascii="Arial" w:cs="Arial" w:eastAsia="Arial" w:hAnsi="Arial"/>
          <w:b/>
          <w:bCs/>
          <w:color w:val="1B2A4A"/>
          <w:sz w:val="40"/>
          <w:szCs w:val="40"/>
        </w:rPr>
        <w:t xml:space="preserve">ConfidenceNode Protocol</w:t>
      </w:r>
    </w:p>
    <w:p>
      <w:pPr>
        <w:spacing w:before="0" w:after="60"/>
        <w:jc w:val="center"/>
      </w:pPr>
      <w:r>
        <w:rPr>
          <w:rFonts w:ascii="Arial" w:cs="Arial" w:eastAsia="Arial" w:hAnsi="Arial"/>
          <w:i/>
          <w:iCs/>
          <w:color w:val="999999"/>
          <w:sz w:val="24"/>
          <w:szCs w:val="24"/>
        </w:rPr>
        <w:t xml:space="preserve">Section 9 Addendum — Education Vertical</w:t>
      </w:r>
    </w:p>
    <w:p>
      <w:pPr>
        <w:spacing w:before="0" w:after="400"/>
        <w:jc w:val="center"/>
      </w:pPr>
      <w:r>
        <w:rPr>
          <w:rFonts w:ascii="Arial" w:cs="Arial" w:eastAsia="Arial" w:hAnsi="Arial"/>
          <w:color w:val="4A7FC1"/>
          <w:sz w:val="20"/>
          <w:szCs w:val="20"/>
        </w:rPr>
        <w:t xml:space="preserve">To be incorporated into Whitepaper v0.2</w:t>
      </w:r>
    </w:p>
    <w:p>
      <w:pPr>
        <w:pStyle w:val="Heading1"/>
        <w:pBdr>
          <w:bottom w:val="single" w:color="2E5FA3" w:sz="6" w:space="6"/>
        </w:pBdr>
        <w:spacing w:before="400" w:after="160"/>
      </w:pPr>
      <w:r>
        <w:rPr>
          <w:rFonts w:ascii="Arial" w:cs="Arial" w:eastAsia="Arial" w:hAnsi="Arial"/>
          <w:b/>
          <w:bCs/>
          <w:color w:val="1B2A4A"/>
          <w:sz w:val="36"/>
          <w:szCs w:val="36"/>
        </w:rPr>
        <w:t xml:space="preserve">9. The Education Vertical: Metacognition as Calibration</w:t>
      </w:r>
    </w:p>
    <w:p>
      <w:pPr>
        <w:pStyle w:val="Heading2"/>
        <w:spacing w:before="280" w:after="120"/>
      </w:pPr>
      <w:r>
        <w:rPr>
          <w:rFonts w:ascii="Arial" w:cs="Arial" w:eastAsia="Arial" w:hAnsi="Arial"/>
          <w:b/>
          <w:bCs/>
          <w:color w:val="2E5FA3"/>
          <w:sz w:val="26"/>
          <w:szCs w:val="26"/>
        </w:rPr>
        <w:t xml:space="preserve">9.1 The Isomorphism</w:t>
      </w:r>
    </w:p>
    <w:p>
      <w:pPr>
        <w:spacing w:before="80" w:after="120"/>
        <w:jc w:val="both"/>
      </w:pPr>
      <w:r>
        <w:rPr>
          <w:rFonts w:ascii="Arial" w:cs="Arial" w:eastAsia="Arial" w:hAnsi="Arial"/>
          <w:b w:val="false"/>
          <w:bCs w:val="false"/>
          <w:i w:val="false"/>
          <w:iCs w:val="false"/>
          <w:color w:val="1B2A4A"/>
          <w:sz w:val="22"/>
          <w:szCs w:val="22"/>
        </w:rPr>
        <w:t xml:space="preserve">The ConfidenceNode Protocol was designed for software engineering but its underlying model is domain-agnostic. The education vertical is not an analogy — it is an exact mapping. Every concept in the protocol has a direct educational equivalent.</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Concept</w:t>
            </w:r>
          </w:p>
        </w:tc>
        <w:tc>
          <w:tcPr>
            <w:tcW w:type="dxa" w:w="3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Software engineering</w:t>
            </w:r>
          </w:p>
        </w:tc>
        <w:tc>
          <w:tcPr>
            <w:tcW w:type="dxa" w:w="37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Education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B2A4A"/>
                <w:sz w:val="20"/>
                <w:szCs w:val="20"/>
              </w:rPr>
              <w:t xml:space="preserve">Unit of uncertainty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B2A4A"/>
                <w:sz w:val="20"/>
                <w:szCs w:val="20"/>
              </w:rPr>
              <w:t xml:space="preserve">Technical gap (# ?)</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B2A4A"/>
                <w:sz w:val="20"/>
                <w:szCs w:val="20"/>
              </w:rPr>
              <w:t xml:space="preserve">Unknown concept or skill</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val="false"/>
                <w:bCs w:val="false"/>
                <w:color w:val="1B2A4A"/>
                <w:sz w:val="20"/>
                <w:szCs w:val="20"/>
              </w:rPr>
              <w:t xml:space="preserve">Estimation input</w:t>
            </w:r>
          </w:p>
        </w:tc>
        <w:tc>
          <w:tcPr>
            <w:tcW w:type="dxa" w:w="34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val="false"/>
                <w:bCs w:val="false"/>
                <w:color w:val="1B2A4A"/>
                <w:sz w:val="20"/>
                <w:szCs w:val="20"/>
              </w:rPr>
              <w:t xml:space="preserve">P20/P80 effort in hours</w:t>
            </w:r>
          </w:p>
        </w:tc>
        <w:tc>
          <w:tcPr>
            <w:tcW w:type="dxa" w:w="376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val="false"/>
                <w:bCs w:val="false"/>
                <w:color w:val="1B2A4A"/>
                <w:sz w:val="20"/>
                <w:szCs w:val="20"/>
              </w:rPr>
              <w:t xml:space="preserve">P20/P80 study hours to pass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B2A4A"/>
                <w:sz w:val="20"/>
                <w:szCs w:val="20"/>
              </w:rPr>
              <w:t xml:space="preserve">Outcome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B2A4A"/>
                <w:sz w:val="20"/>
                <w:szCs w:val="20"/>
              </w:rPr>
              <w:t xml:space="preserve">Gap resolved / not resolved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B2A4A"/>
                <w:sz w:val="20"/>
                <w:szCs w:val="20"/>
              </w:rPr>
              <w:t xml:space="preserve">Exam passed / not passed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val="false"/>
                <w:bCs w:val="false"/>
                <w:color w:val="1B2A4A"/>
                <w:sz w:val="20"/>
                <w:szCs w:val="20"/>
              </w:rPr>
              <w:t xml:space="preserve">Latent variable</w:t>
            </w:r>
          </w:p>
        </w:tc>
        <w:tc>
          <w:tcPr>
            <w:tcW w:type="dxa" w:w="34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val="false"/>
                <w:bCs w:val="false"/>
                <w:color w:val="1B2A4A"/>
                <w:sz w:val="20"/>
                <w:szCs w:val="20"/>
              </w:rPr>
              <w:t xml:space="preserve">Optimism bias, anchoring</w:t>
            </w:r>
          </w:p>
        </w:tc>
        <w:tc>
          <w:tcPr>
            <w:tcW w:type="dxa" w:w="376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val="false"/>
                <w:bCs w:val="false"/>
                <w:color w:val="1B2A4A"/>
                <w:sz w:val="20"/>
                <w:szCs w:val="20"/>
              </w:rPr>
              <w:t xml:space="preserve">Exam anxiety, metacognition deficit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B2A4A"/>
                <w:sz w:val="20"/>
                <w:szCs w:val="20"/>
              </w:rPr>
              <w:t xml:space="preserve">Calibration signal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B2A4A"/>
                <w:sz w:val="20"/>
                <w:szCs w:val="20"/>
              </w:rPr>
              <w:t xml:space="preserve">interval_hit per task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B2A4A"/>
                <w:sz w:val="20"/>
                <w:szCs w:val="20"/>
              </w:rPr>
              <w:t xml:space="preserve">interval_hit per assessment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val="false"/>
                <w:bCs w:val="false"/>
                <w:color w:val="1B2A4A"/>
                <w:sz w:val="20"/>
                <w:szCs w:val="20"/>
              </w:rPr>
              <w:t xml:space="preserve">Aggregate output</w:t>
            </w:r>
          </w:p>
        </w:tc>
        <w:tc>
          <w:tcPr>
            <w:tcW w:type="dxa" w:w="34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val="false"/>
                <w:bCs w:val="false"/>
                <w:color w:val="1B2A4A"/>
                <w:sz w:val="20"/>
                <w:szCs w:val="20"/>
              </w:rPr>
              <w:t xml:space="preserve">Team velocity, bus factor</w:t>
            </w:r>
          </w:p>
        </w:tc>
        <w:tc>
          <w:tcPr>
            <w:tcW w:type="dxa" w:w="376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val="false"/>
                <w:bCs w:val="false"/>
                <w:color w:val="1B2A4A"/>
                <w:sz w:val="20"/>
                <w:szCs w:val="20"/>
              </w:rPr>
              <w:t xml:space="preserve">Class calibration, curriculum gaps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B2A4A"/>
                <w:sz w:val="20"/>
                <w:szCs w:val="20"/>
              </w:rPr>
              <w:t xml:space="preserve">Protected from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B2A4A"/>
                <w:sz w:val="20"/>
                <w:szCs w:val="20"/>
              </w:rPr>
              <w:t xml:space="preserve">Employer performance review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B2A4A"/>
                <w:sz w:val="20"/>
                <w:szCs w:val="20"/>
              </w:rPr>
              <w:t xml:space="preserve">Teacher grade penalization</w:t>
            </w:r>
          </w:p>
        </w:tc>
      </w:tr>
    </w:tbl>
    <w:p>
      <w:pPr>
        <w:spacing w:before="160" w:after="0"/>
      </w:pPr>
    </w:p>
    <w:p>
      <w:pPr>
        <w:spacing w:before="80" w:after="120"/>
        <w:jc w:val="both"/>
      </w:pPr>
      <w:r>
        <w:rPr>
          <w:rFonts w:ascii="Arial" w:cs="Arial" w:eastAsia="Arial" w:hAnsi="Arial"/>
          <w:b w:val="false"/>
          <w:bCs w:val="false"/>
          <w:i w:val="false"/>
          <w:iCs w:val="false"/>
          <w:color w:val="1B2A4A"/>
          <w:sz w:val="22"/>
          <w:szCs w:val="22"/>
        </w:rPr>
        <w:t xml:space="preserve">The mapping is exact in one direction and richer in another. In software, the agent estimates an external task. In education, the agent estimates their own learning capacity — how much study effort will produce a passing result. That makes the educational application a direct measure of metacognition: the ability to accurately model one's own cognitive processes.</w:t>
      </w:r>
    </w:p>
    <w:p>
      <w:pPr>
        <w:pBdr>
          <w:left w:val="single" w:color="E8A020" w:sz="12" w:space="10"/>
        </w:pBdr>
        <w:spacing w:before="140" w:after="140"/>
        <w:ind w:left="720" w:right="720"/>
        <w:jc w:val="both"/>
      </w:pPr>
      <w:r>
        <w:rPr>
          <w:rFonts w:ascii="Arial" w:cs="Arial" w:eastAsia="Arial" w:hAnsi="Arial"/>
          <w:i/>
          <w:iCs/>
          <w:color w:val="555555"/>
          <w:sz w:val="22"/>
          <w:szCs w:val="22"/>
        </w:rPr>
        <w:t xml:space="preserve">"A student who consistently underestimates how long it takes to learn a concept does not have a study problem. They have a metacognitive problem — they do not know what they do not know. The protocol measures this automatically, without asking the student to self-report."</w:t>
      </w:r>
    </w:p>
    <w:p>
      <w:pPr>
        <w:pStyle w:val="Heading2"/>
        <w:spacing w:before="280" w:after="120"/>
      </w:pPr>
      <w:r>
        <w:rPr>
          <w:rFonts w:ascii="Arial" w:cs="Arial" w:eastAsia="Arial" w:hAnsi="Arial"/>
          <w:b/>
          <w:bCs/>
          <w:color w:val="2E5FA3"/>
          <w:sz w:val="26"/>
          <w:szCs w:val="26"/>
        </w:rPr>
        <w:t xml:space="preserve">9.2 A Concrete Example</w:t>
      </w:r>
    </w:p>
    <w:p>
      <w:pPr>
        <w:spacing w:before="200" w:after="100"/>
      </w:pPr>
      <w:r>
        <w:rPr>
          <w:rFonts w:ascii="Arial" w:cs="Arial" w:eastAsia="Arial" w:hAnsi="Arial"/>
          <w:b/>
          <w:bCs/>
          <w:color w:val="1B2A4A"/>
          <w:sz w:val="23"/>
          <w:szCs w:val="23"/>
        </w:rPr>
        <w:t xml:space="preserve">The Setup</w:t>
      </w:r>
    </w:p>
    <w:p>
      <w:pPr>
        <w:spacing w:before="80" w:after="120"/>
        <w:jc w:val="both"/>
      </w:pPr>
      <w:r>
        <w:rPr>
          <w:rFonts w:ascii="Arial" w:cs="Arial" w:eastAsia="Arial" w:hAnsi="Arial"/>
          <w:b w:val="false"/>
          <w:bCs w:val="false"/>
          <w:i w:val="false"/>
          <w:iCs w:val="false"/>
          <w:color w:val="1B2A4A"/>
          <w:sz w:val="22"/>
          <w:szCs w:val="22"/>
        </w:rPr>
        <w:t xml:space="preserve">A student is preparing for an exam. The system asks two questions before they begin studying:</w:t>
      </w:r>
    </w:p>
    <w:p>
      <w:pPr>
        <w:pStyle w:val="ListParagraph"/>
        <w:numPr>
          <w:ilvl w:val="0"/>
          <w:numId w:val="2"/>
        </w:numPr>
        <w:spacing w:before="60" w:after="60"/>
      </w:pPr>
      <w:r>
        <w:rPr>
          <w:rFonts w:ascii="Arial" w:cs="Arial" w:eastAsia="Arial" w:hAnsi="Arial"/>
          <w:b w:val="false"/>
          <w:bCs w:val="false"/>
          <w:color w:val="1B2A4A"/>
          <w:sz w:val="22"/>
          <w:szCs w:val="22"/>
        </w:rPr>
        <w:t xml:space="preserve">"If you study for X hours, what is your probability of passing?" — repeated to elicit P20 and P80 thresholds</w:t>
      </w:r>
    </w:p>
    <w:p>
      <w:pPr>
        <w:pStyle w:val="ListParagraph"/>
        <w:numPr>
          <w:ilvl w:val="0"/>
          <w:numId w:val="2"/>
        </w:numPr>
        <w:spacing w:before="60" w:after="60"/>
      </w:pPr>
      <w:r>
        <w:rPr>
          <w:rFonts w:ascii="Arial" w:cs="Arial" w:eastAsia="Arial" w:hAnsi="Arial"/>
          <w:b w:val="false"/>
          <w:bCs w:val="false"/>
          <w:color w:val="1B2A4A"/>
          <w:sz w:val="22"/>
          <w:szCs w:val="22"/>
        </w:rPr>
        <w:t xml:space="preserve">Concretely: "At how many study hours do you have a 20% chance of passing?" (P20) and "At how many hours do you have an 80% chance?" (P80)</w:t>
      </w:r>
    </w:p>
    <w:p>
      <w:pPr>
        <w:spacing w:before="80" w:after="120"/>
        <w:jc w:val="both"/>
      </w:pPr>
      <w:r>
        <w:rPr>
          <w:rFonts w:ascii="Arial" w:cs="Arial" w:eastAsia="Arial" w:hAnsi="Arial"/>
          <w:b w:val="false"/>
          <w:bCs w:val="false"/>
          <w:i w:val="false"/>
          <w:iCs w:val="false"/>
          <w:color w:val="1B2A4A"/>
          <w:sz w:val="22"/>
          <w:szCs w:val="22"/>
        </w:rPr>
        <w:t xml:space="preserve">The student answers: P20 = 3 hours, P80 = 6 hours. This means: the student believes that with 3 hours of study they have a 20% chance of passing, and with 6 hours they have an 80% chance. The interval [3h, 6h] encodes both their point estimate and their confidence.</w:t>
      </w:r>
    </w:p>
    <w:p>
      <w:pPr>
        <w:spacing w:before="80" w:after="120"/>
        <w:jc w:val="both"/>
      </w:pPr>
      <w:r>
        <w:rPr>
          <w:rFonts w:ascii="Arial" w:cs="Arial" w:eastAsia="Arial" w:hAnsi="Arial"/>
          <w:b w:val="false"/>
          <w:bCs w:val="false"/>
          <w:i w:val="false"/>
          <w:iCs w:val="false"/>
          <w:color w:val="1B2A4A"/>
          <w:sz w:val="22"/>
          <w:szCs w:val="22"/>
        </w:rPr>
        <w:t xml:space="preserve">The student studies for 5 hours — within their declared interval. They take the exam. They fail.</w:t>
      </w:r>
    </w:p>
    <w:p>
      <w:pPr>
        <w:spacing w:before="200" w:after="100"/>
      </w:pPr>
      <w:r>
        <w:rPr>
          <w:rFonts w:ascii="Arial" w:cs="Arial" w:eastAsia="Arial" w:hAnsi="Arial"/>
          <w:b/>
          <w:bCs/>
          <w:color w:val="1B2A4A"/>
          <w:sz w:val="23"/>
          <w:szCs w:val="23"/>
        </w:rPr>
        <w:t xml:space="preserve">What the Model Observes</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Signal</w:t>
            </w:r>
          </w:p>
        </w:tc>
        <w:tc>
          <w:tcPr>
            <w:tcW w:type="dxa" w:w="2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What the student sees</w:t>
            </w:r>
          </w:p>
        </w:tc>
        <w:tc>
          <w:tcPr>
            <w:tcW w:type="dxa" w:w="37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What the model infers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B2A4A"/>
                <w:sz w:val="20"/>
                <w:szCs w:val="20"/>
              </w:rPr>
              <w:t xml:space="preserve">P20=3h, P80=6h declared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B2A4A"/>
                <w:sz w:val="20"/>
                <w:szCs w:val="20"/>
              </w:rPr>
              <w:t xml:space="preserve">My estimate is submitted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B2A4A"/>
                <w:sz w:val="20"/>
                <w:szCs w:val="20"/>
              </w:rPr>
              <w:t xml:space="preserve">Declared uncertainty: moderate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val="false"/>
                <w:bCs w:val="false"/>
                <w:color w:val="1B2A4A"/>
                <w:sz w:val="20"/>
                <w:szCs w:val="20"/>
              </w:rPr>
              <w:t xml:space="preserve">Studies 5h — within interval</w:t>
            </w:r>
          </w:p>
        </w:tc>
        <w:tc>
          <w:tcPr>
            <w:tcW w:type="dxa" w:w="28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val="false"/>
                <w:bCs w:val="false"/>
                <w:color w:val="1B2A4A"/>
                <w:sz w:val="20"/>
                <w:szCs w:val="20"/>
              </w:rPr>
              <w:t xml:space="preserve">I studied enough</w:t>
            </w:r>
          </w:p>
        </w:tc>
        <w:tc>
          <w:tcPr>
            <w:tcW w:type="dxa" w:w="376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val="false"/>
                <w:bCs w:val="false"/>
                <w:color w:val="1B2A4A"/>
                <w:sz w:val="20"/>
                <w:szCs w:val="20"/>
              </w:rPr>
              <w:t xml:space="preserve">Effort compliant: 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B2A4A"/>
                <w:sz w:val="20"/>
                <w:szCs w:val="20"/>
              </w:rPr>
              <w:t xml:space="preserve">Exam result: fail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B2A4A"/>
                <w:sz w:val="20"/>
                <w:szCs w:val="20"/>
              </w:rPr>
              <w:t xml:space="preserve">I failed despite studying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B2A4A"/>
                <w:sz w:val="20"/>
                <w:szCs w:val="20"/>
              </w:rPr>
              <w:t xml:space="preserve">Effort-outcome gap detected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val="false"/>
                <w:bCs w:val="false"/>
                <w:color w:val="1B2A4A"/>
                <w:sz w:val="20"/>
                <w:szCs w:val="20"/>
              </w:rPr>
              <w:t xml:space="preserve">Pattern repeats 3 exams</w:t>
            </w:r>
          </w:p>
        </w:tc>
        <w:tc>
          <w:tcPr>
            <w:tcW w:type="dxa" w:w="28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val="false"/>
                <w:bCs w:val="false"/>
                <w:color w:val="1B2A4A"/>
                <w:sz w:val="20"/>
                <w:szCs w:val="20"/>
              </w:rPr>
              <w:t xml:space="preserve">Bad luck?</w:t>
            </w:r>
          </w:p>
        </w:tc>
        <w:tc>
          <w:tcPr>
            <w:tcW w:type="dxa" w:w="376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val="false"/>
                <w:bCs w:val="false"/>
                <w:color w:val="1B2A4A"/>
                <w:sz w:val="20"/>
                <w:szCs w:val="20"/>
              </w:rPr>
              <w:t xml:space="preserve">Latent variable: performance under pressure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B2A4A"/>
                <w:sz w:val="20"/>
                <w:szCs w:val="20"/>
              </w:rPr>
              <w:t xml:space="preserve">Model adjusts recommended P80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B2A4A"/>
                <w:sz w:val="20"/>
                <w:szCs w:val="20"/>
              </w:rPr>
              <w:t xml:space="preserve">System suggests more buffer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B2A4A"/>
                <w:sz w:val="20"/>
                <w:szCs w:val="20"/>
              </w:rPr>
              <w:t xml:space="preserve">Anxiety parameter inferred, never named</w:t>
            </w:r>
          </w:p>
        </w:tc>
      </w:tr>
    </w:tbl>
    <w:p>
      <w:pPr>
        <w:spacing w:before="160" w:after="0"/>
      </w:pPr>
    </w:p>
    <w:p>
      <w:pPr>
        <w:spacing w:before="80" w:after="120"/>
        <w:jc w:val="both"/>
      </w:pPr>
      <w:r>
        <w:rPr>
          <w:rFonts w:ascii="Arial" w:cs="Arial" w:eastAsia="Arial" w:hAnsi="Arial"/>
          <w:b w:val="false"/>
          <w:bCs w:val="false"/>
          <w:i w:val="false"/>
          <w:iCs w:val="false"/>
          <w:color w:val="1B2A4A"/>
          <w:sz w:val="22"/>
          <w:szCs w:val="22"/>
        </w:rPr>
        <w:t xml:space="preserve">On a single exam, the model records one data point: effort was within the declared interval, but the outcome did not match the declared probability. This could be noise — exam difficulty varied, the student was unwell, the questions covered an unexpected topic.</w:t>
      </w:r>
    </w:p>
    <w:p>
      <w:pPr>
        <w:spacing w:before="80" w:after="120"/>
        <w:jc w:val="both"/>
      </w:pPr>
      <w:r>
        <w:rPr>
          <w:rFonts w:ascii="Arial" w:cs="Arial" w:eastAsia="Arial" w:hAnsi="Arial"/>
          <w:b w:val="false"/>
          <w:bCs w:val="false"/>
          <w:i w:val="false"/>
          <w:iCs w:val="false"/>
          <w:color w:val="1B2A4A"/>
          <w:sz w:val="22"/>
          <w:szCs w:val="22"/>
        </w:rPr>
        <w:t xml:space="preserve">But the pattern repeats. Over three exams, the same signal appears: the student's effort consistently falls within their declared P20/P80 interval, but their pass rate is significantly below what their declared P80 would predict. A student who declares P80=6h and studies 5-6h consistently should pass roughly 70-80% of the time. This student passes 30% of the time.</w:t>
      </w:r>
    </w:p>
    <w:p>
      <w:pPr>
        <w:spacing w:before="80" w:after="120"/>
        <w:jc w:val="both"/>
      </w:pPr>
      <w:r>
        <w:rPr>
          <w:rFonts w:ascii="Arial" w:cs="Arial" w:eastAsia="Arial" w:hAnsi="Arial"/>
          <w:b w:val="false"/>
          <w:bCs w:val="false"/>
          <w:i w:val="false"/>
          <w:iCs w:val="false"/>
          <w:color w:val="1B2A4A"/>
          <w:sz w:val="22"/>
          <w:szCs w:val="22"/>
        </w:rPr>
        <w:t xml:space="preserve">The model does not conclude that the student is lazy or unintelligent. It infers a latent variable — a systematic gap between effort and outcome that is not explained by study hours alone. The variable might be exam anxiety, difficulty with timed assessment formats, poor retrieval practice despite adequate study time, or any number of other factors.</w:t>
      </w:r>
    </w:p>
    <w:p>
      <w:pPr>
        <w:spacing w:before="80" w:after="120"/>
        <w:jc w:val="both"/>
      </w:pPr>
      <w:r>
        <w:rPr>
          <w:rFonts w:ascii="Arial" w:cs="Arial" w:eastAsia="Arial" w:hAnsi="Arial"/>
          <w:b w:val="false"/>
          <w:bCs w:val="false"/>
          <w:i w:val="false"/>
          <w:iCs w:val="false"/>
          <w:color w:val="1B2A4A"/>
          <w:sz w:val="22"/>
          <w:szCs w:val="22"/>
        </w:rPr>
        <w:t xml:space="preserve">The model does not name the variable. It does not say "you have exam anxiety = 0.73." It adjusts its recommendations: the next time the student asks what P80 looks like, the system suggests a higher number of hours than the student's raw calibration would imply, silently compensating for the observed gap.</w:t>
      </w:r>
    </w:p>
    <w:p>
      <w:pPr>
        <w:pStyle w:val="Heading2"/>
        <w:spacing w:before="280" w:after="120"/>
      </w:pPr>
      <w:r>
        <w:rPr>
          <w:rFonts w:ascii="Arial" w:cs="Arial" w:eastAsia="Arial" w:hAnsi="Arial"/>
          <w:b/>
          <w:bCs/>
          <w:color w:val="2E5FA3"/>
          <w:sz w:val="26"/>
          <w:szCs w:val="26"/>
        </w:rPr>
        <w:t xml:space="preserve">9.3 What the Teacher Receives</w:t>
      </w:r>
    </w:p>
    <w:p>
      <w:pPr>
        <w:spacing w:before="80" w:after="120"/>
        <w:jc w:val="both"/>
      </w:pPr>
      <w:r>
        <w:rPr>
          <w:rFonts w:ascii="Arial" w:cs="Arial" w:eastAsia="Arial" w:hAnsi="Arial"/>
          <w:b w:val="false"/>
          <w:bCs w:val="false"/>
          <w:i w:val="false"/>
          <w:iCs w:val="false"/>
          <w:color w:val="1B2A4A"/>
          <w:sz w:val="22"/>
          <w:szCs w:val="22"/>
        </w:rPr>
        <w:t xml:space="preserve">The teacher never sees individual student profiles. The protocol's protection applies here exactly as it does in the software context: the latent model is the student's data, not the institution's.</w:t>
      </w:r>
    </w:p>
    <w:p>
      <w:pPr>
        <w:spacing w:before="80" w:after="120"/>
        <w:jc w:val="both"/>
      </w:pPr>
      <w:r>
        <w:rPr>
          <w:rFonts w:ascii="Arial" w:cs="Arial" w:eastAsia="Arial" w:hAnsi="Arial"/>
          <w:b w:val="false"/>
          <w:bCs w:val="false"/>
          <w:i w:val="false"/>
          <w:iCs w:val="false"/>
          <w:color w:val="1B2A4A"/>
          <w:sz w:val="22"/>
          <w:szCs w:val="22"/>
        </w:rPr>
        <w:t xml:space="preserve">What the teacher does receive is aggregate signal — anonymized, non-attributable, and actionable: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960"/>
        <w:gridCol w:w="340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r>
              <w:rPr>
                <w:rFonts w:ascii="Arial" w:cs="Arial" w:eastAsia="Arial" w:hAnsi="Arial"/>
                <w:b/>
                <w:bCs/>
                <w:color w:val="FFFFFF"/>
                <w:sz w:val="19"/>
                <w:szCs w:val="19"/>
              </w:rPr>
              <w:t xml:space="preserve">What the teacher receives</w:t>
            </w:r>
          </w:p>
        </w:tc>
        <w:tc>
          <w:tcPr>
            <w:tcW w:type="dxa" w:w="29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r>
              <w:rPr>
                <w:rFonts w:ascii="Arial" w:cs="Arial" w:eastAsia="Arial" w:hAnsi="Arial"/>
                <w:b/>
                <w:bCs/>
                <w:color w:val="FFFFFF"/>
                <w:sz w:val="19"/>
                <w:szCs w:val="19"/>
              </w:rPr>
              <w:t xml:space="preserve">What the teacher cannot see</w:t>
            </w:r>
          </w:p>
        </w:tc>
        <w:tc>
          <w:tcPr>
            <w:tcW w:type="dxa" w:w="3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r>
              <w:rPr>
                <w:rFonts w:ascii="Arial" w:cs="Arial" w:eastAsia="Arial" w:hAnsi="Arial"/>
                <w:b/>
                <w:bCs/>
                <w:color w:val="FFFFFF"/>
                <w:sz w:val="19"/>
                <w:szCs w:val="19"/>
              </w:rPr>
              <w:t xml:space="preserve">What the teacher can do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B2A4A"/>
                <w:sz w:val="19"/>
                <w:szCs w:val="19"/>
              </w:rPr>
              <w:t xml:space="preserve">60% of group: effort-outcome gap on question type X</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B2A4A"/>
                <w:sz w:val="19"/>
                <w:szCs w:val="19"/>
              </w:rPr>
              <w:t xml:space="preserve">Which students have the gap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B2A4A"/>
                <w:sz w:val="19"/>
                <w:szCs w:val="19"/>
              </w:rPr>
              <w:t xml:space="preserve">Redesign question type X</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val="false"/>
                <w:bCs w:val="false"/>
                <w:color w:val="1B2A4A"/>
                <w:sz w:val="19"/>
                <w:szCs w:val="19"/>
              </w:rPr>
              <w:t xml:space="preserve">Average declared P80 rising before exam period</w:t>
            </w:r>
          </w:p>
        </w:tc>
        <w:tc>
          <w:tcPr>
            <w:tcW w:type="dxa" w:w="296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val="false"/>
                <w:bCs w:val="false"/>
                <w:color w:val="1B2A4A"/>
                <w:sz w:val="19"/>
                <w:szCs w:val="19"/>
              </w:rPr>
              <w:t xml:space="preserve">Individual anxiety profiles</w:t>
            </w:r>
          </w:p>
        </w:tc>
        <w:tc>
          <w:tcPr>
            <w:tcW w:type="dxa" w:w="34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val="false"/>
                <w:bCs w:val="false"/>
                <w:color w:val="1B2A4A"/>
                <w:sz w:val="19"/>
                <w:szCs w:val="19"/>
              </w:rPr>
              <w:t xml:space="preserve">Add low-stakes practice exams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B2A4A"/>
                <w:sz w:val="19"/>
                <w:szCs w:val="19"/>
              </w:rPr>
              <w:t xml:space="preserve">Interval hit rate: 42% (below expected 60%)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B2A4A"/>
                <w:sz w:val="19"/>
                <w:szCs w:val="19"/>
              </w:rPr>
              <w:t xml:space="preserve">Who is miscalibrated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B2A4A"/>
                <w:sz w:val="19"/>
                <w:szCs w:val="19"/>
              </w:rPr>
              <w:t xml:space="preserve">Address metacognition in class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val="false"/>
                <w:bCs w:val="false"/>
                <w:color w:val="1B2A4A"/>
                <w:sz w:val="19"/>
                <w:szCs w:val="19"/>
              </w:rPr>
              <w:t xml:space="preserve">Concept cluster 'recursion': high gap density</w:t>
            </w:r>
          </w:p>
        </w:tc>
        <w:tc>
          <w:tcPr>
            <w:tcW w:type="dxa" w:w="296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val="false"/>
                <w:bCs w:val="false"/>
                <w:color w:val="1B2A4A"/>
                <w:sz w:val="19"/>
                <w:szCs w:val="19"/>
              </w:rPr>
              <w:t xml:space="preserve">Who doesn't understand it</w:t>
            </w:r>
          </w:p>
        </w:tc>
        <w:tc>
          <w:tcPr>
            <w:tcW w:type="dxa" w:w="34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val="false"/>
                <w:bCs w:val="false"/>
                <w:color w:val="1B2A4A"/>
                <w:sz w:val="19"/>
                <w:szCs w:val="19"/>
              </w:rPr>
              <w:t xml:space="preserve">Revisit recursion teaching method</w:t>
            </w:r>
          </w:p>
        </w:tc>
      </w:tr>
    </w:tbl>
    <w:p>
      <w:pPr>
        <w:spacing w:before="160" w:after="0"/>
      </w:pPr>
    </w:p>
    <w:p>
      <w:pPr>
        <w:spacing w:before="80" w:after="120"/>
        <w:jc w:val="both"/>
      </w:pPr>
      <w:r>
        <w:rPr>
          <w:rFonts w:ascii="Arial" w:cs="Arial" w:eastAsia="Arial" w:hAnsi="Arial"/>
          <w:b w:val="false"/>
          <w:bCs w:val="false"/>
          <w:i w:val="false"/>
          <w:iCs w:val="false"/>
          <w:color w:val="1B2A4A"/>
          <w:sz w:val="22"/>
          <w:szCs w:val="22"/>
        </w:rPr>
        <w:t xml:space="preserve">This distinction is the protocol's central contribution to education. Current educational data systems give teachers individual performance data — grades, attendance, test scores. That data is useful for evaluating students. It is not useful for evaluating teaching.</w:t>
      </w:r>
    </w:p>
    <w:p>
      <w:pPr>
        <w:spacing w:before="80" w:after="120"/>
        <w:jc w:val="both"/>
      </w:pPr>
      <w:r>
        <w:rPr>
          <w:rFonts w:ascii="Arial" w:cs="Arial" w:eastAsia="Arial" w:hAnsi="Arial"/>
          <w:b w:val="false"/>
          <w:bCs w:val="false"/>
          <w:i w:val="false"/>
          <w:iCs w:val="false"/>
          <w:color w:val="1B2A4A"/>
          <w:sz w:val="22"/>
          <w:szCs w:val="22"/>
        </w:rPr>
        <w:t xml:space="preserve">The ConfidenceNode aggregate gives teachers something different: evidence about the relationship between student effort and outcome at the class level, without identifying any individual student. That is information about the curriculum, the assessment format, and the teaching method — not about the students.</w:t>
      </w:r>
    </w:p>
    <w:p>
      <w:pPr>
        <w:pBdr>
          <w:left w:val="single" w:color="E8A020" w:sz="12" w:space="10"/>
        </w:pBdr>
        <w:spacing w:before="140" w:after="140"/>
        <w:ind w:left="720" w:right="720"/>
        <w:jc w:val="both"/>
      </w:pPr>
      <w:r>
        <w:rPr>
          <w:rFonts w:ascii="Arial" w:cs="Arial" w:eastAsia="Arial" w:hAnsi="Arial"/>
          <w:i/>
          <w:iCs/>
          <w:color w:val="555555"/>
          <w:sz w:val="22"/>
          <w:szCs w:val="22"/>
        </w:rPr>
        <w:t xml:space="preserve">"The aggregate tells the teacher where the curriculum fails. It cannot be used to penalize the students who revealed that failure."</w:t>
      </w:r>
    </w:p>
    <w:p>
      <w:pPr>
        <w:pStyle w:val="Heading2"/>
        <w:spacing w:before="280" w:after="120"/>
      </w:pPr>
      <w:r>
        <w:rPr>
          <w:rFonts w:ascii="Arial" w:cs="Arial" w:eastAsia="Arial" w:hAnsi="Arial"/>
          <w:b/>
          <w:bCs/>
          <w:color w:val="2E5FA3"/>
          <w:sz w:val="26"/>
          <w:szCs w:val="26"/>
        </w:rPr>
        <w:t xml:space="preserve">9.4 The Anxiety Variable</w:t>
      </w:r>
    </w:p>
    <w:p>
      <w:pPr>
        <w:spacing w:before="80" w:after="120"/>
        <w:jc w:val="both"/>
      </w:pPr>
      <w:r>
        <w:rPr>
          <w:rFonts w:ascii="Arial" w:cs="Arial" w:eastAsia="Arial" w:hAnsi="Arial"/>
          <w:b w:val="false"/>
          <w:bCs w:val="false"/>
          <w:i w:val="false"/>
          <w:iCs w:val="false"/>
          <w:color w:val="1B2A4A"/>
          <w:sz w:val="22"/>
          <w:szCs w:val="22"/>
        </w:rPr>
        <w:t xml:space="preserve">Exam anxiety is the clearest example of a latent variable that the protocol can infer without asking. Its behavioral signature is specific: calibration degrades under high-stakes conditions relative to low-stakes conditions.</w:t>
      </w:r>
    </w:p>
    <w:p>
      <w:pPr>
        <w:spacing w:before="80" w:after="120"/>
        <w:jc w:val="both"/>
      </w:pPr>
      <w:r>
        <w:rPr>
          <w:rFonts w:ascii="Arial" w:cs="Arial" w:eastAsia="Arial" w:hAnsi="Arial"/>
          <w:b w:val="false"/>
          <w:bCs w:val="false"/>
          <w:i w:val="false"/>
          <w:iCs w:val="false"/>
          <w:color w:val="1B2A4A"/>
          <w:sz w:val="22"/>
          <w:szCs w:val="22"/>
        </w:rPr>
        <w:t xml:space="preserve">A student with high exam anxiety will show:</w:t>
      </w:r>
    </w:p>
    <w:p>
      <w:pPr>
        <w:pStyle w:val="ListParagraph"/>
        <w:numPr>
          <w:ilvl w:val="0"/>
          <w:numId w:val="2"/>
        </w:numPr>
        <w:spacing w:before="60" w:after="60"/>
      </w:pPr>
      <w:r>
        <w:rPr>
          <w:rFonts w:ascii="Arial" w:cs="Arial" w:eastAsia="Arial" w:hAnsi="Arial"/>
          <w:b w:val="false"/>
          <w:bCs w:val="false"/>
          <w:color w:val="1B2A4A"/>
          <w:sz w:val="22"/>
          <w:szCs w:val="22"/>
        </w:rPr>
        <w:t xml:space="preserve">Accurate interval_hit rates on ungraded practice assessments</w:t>
      </w:r>
    </w:p>
    <w:p>
      <w:pPr>
        <w:pStyle w:val="ListParagraph"/>
        <w:numPr>
          <w:ilvl w:val="0"/>
          <w:numId w:val="2"/>
        </w:numPr>
        <w:spacing w:before="60" w:after="60"/>
      </w:pPr>
      <w:r>
        <w:rPr>
          <w:rFonts w:ascii="Arial" w:cs="Arial" w:eastAsia="Arial" w:hAnsi="Arial"/>
          <w:b w:val="false"/>
          <w:bCs w:val="false"/>
          <w:color w:val="1B2A4A"/>
          <w:sz w:val="22"/>
          <w:szCs w:val="22"/>
        </w:rPr>
        <w:t xml:space="preserve">Significantly lower interval_hit rates on graded exams with identical content</w:t>
      </w:r>
    </w:p>
    <w:p>
      <w:pPr>
        <w:pStyle w:val="ListParagraph"/>
        <w:numPr>
          <w:ilvl w:val="0"/>
          <w:numId w:val="2"/>
        </w:numPr>
        <w:spacing w:before="60" w:after="60"/>
      </w:pPr>
      <w:r>
        <w:rPr>
          <w:rFonts w:ascii="Arial" w:cs="Arial" w:eastAsia="Arial" w:hAnsi="Arial"/>
          <w:b w:val="false"/>
          <w:bCs w:val="false"/>
          <w:color w:val="1B2A4A"/>
          <w:sz w:val="22"/>
          <w:szCs w:val="22"/>
        </w:rPr>
        <w:t xml:space="preserve">Declared P80 that consistently understates required effort for graded contexts</w:t>
      </w:r>
    </w:p>
    <w:p>
      <w:pPr>
        <w:spacing w:before="80" w:after="120"/>
        <w:jc w:val="both"/>
      </w:pPr>
      <w:r>
        <w:rPr>
          <w:rFonts w:ascii="Arial" w:cs="Arial" w:eastAsia="Arial" w:hAnsi="Arial"/>
          <w:b w:val="false"/>
          <w:bCs w:val="false"/>
          <w:i w:val="false"/>
          <w:iCs w:val="false"/>
          <w:color w:val="1B2A4A"/>
          <w:sz w:val="22"/>
          <w:szCs w:val="22"/>
        </w:rPr>
        <w:t xml:space="preserve">The model detects this pattern by comparing calibration across assessment types. It does not require the student to disclose anxiety, seek help, or be identified. The pattern either exists in the data or it does not.</w:t>
      </w:r>
    </w:p>
    <w:p>
      <w:pPr>
        <w:spacing w:before="80" w:after="120"/>
        <w:jc w:val="both"/>
      </w:pPr>
      <w:r>
        <w:rPr>
          <w:rFonts w:ascii="Arial" w:cs="Arial" w:eastAsia="Arial" w:hAnsi="Arial"/>
          <w:b w:val="false"/>
          <w:bCs w:val="false"/>
          <w:i w:val="false"/>
          <w:iCs w:val="false"/>
          <w:color w:val="1B2A4A"/>
          <w:sz w:val="22"/>
          <w:szCs w:val="22"/>
        </w:rPr>
        <w:t xml:space="preserve">The output for the student is a context-aware recommendation: the system suggests different preparation strategies before high-stakes assessments, without explaining why. The student experiences better calibration, not a diagnosis.</w:t>
      </w:r>
    </w:p>
    <w:p>
      <w:pPr>
        <w:spacing w:before="80" w:after="120"/>
        <w:jc w:val="both"/>
      </w:pPr>
      <w:r>
        <w:rPr>
          <w:rFonts w:ascii="Arial" w:cs="Arial" w:eastAsia="Arial" w:hAnsi="Arial"/>
          <w:b w:val="false"/>
          <w:bCs w:val="false"/>
          <w:i w:val="false"/>
          <w:iCs w:val="false"/>
          <w:color w:val="1B2A4A"/>
          <w:sz w:val="22"/>
          <w:szCs w:val="22"/>
        </w:rPr>
        <w:t xml:space="preserve">The output for the teacher is an aggregate: "X% of the class shows a significant calibration drop between practice and graded assessments." That is an actionable signal — it suggests that test format, not content mastery, may be driving part of the failure rate.</w:t>
      </w:r>
    </w:p>
    <w:p>
      <w:pPr>
        <w:pStyle w:val="Heading2"/>
        <w:spacing w:before="280" w:after="120"/>
      </w:pPr>
      <w:r>
        <w:rPr>
          <w:rFonts w:ascii="Arial" w:cs="Arial" w:eastAsia="Arial" w:hAnsi="Arial"/>
          <w:b/>
          <w:bCs/>
          <w:color w:val="2E5FA3"/>
          <w:sz w:val="26"/>
          <w:szCs w:val="26"/>
        </w:rPr>
        <w:t xml:space="preserve">9.5 Shared Difficulty Without Revealing Who Struggles</w:t>
      </w:r>
    </w:p>
    <w:p>
      <w:pPr>
        <w:spacing w:before="80" w:after="120"/>
        <w:jc w:val="both"/>
      </w:pPr>
      <w:r>
        <w:rPr>
          <w:rFonts w:ascii="Arial" w:cs="Arial" w:eastAsia="Arial" w:hAnsi="Arial"/>
          <w:b w:val="false"/>
          <w:bCs w:val="false"/>
          <w:i w:val="false"/>
          <w:iCs w:val="false"/>
          <w:color w:val="1B2A4A"/>
          <w:sz w:val="22"/>
          <w:szCs w:val="22"/>
        </w:rPr>
        <w:t xml:space="preserve">One of the most sensitive problems in collaborative education is the asymmetry of knowledge gaps: some students understand a concept and some do not, but admitting not understanding carries social cost. Students who would benefit most from asking questions are often the least likely to ask them.</w:t>
      </w:r>
    </w:p>
    <w:p>
      <w:pPr>
        <w:spacing w:before="80" w:after="120"/>
        <w:jc w:val="both"/>
      </w:pPr>
      <w:r>
        <w:rPr>
          <w:rFonts w:ascii="Arial" w:cs="Arial" w:eastAsia="Arial" w:hAnsi="Arial"/>
          <w:b w:val="false"/>
          <w:bCs w:val="false"/>
          <w:i w:val="false"/>
          <w:iCs w:val="false"/>
          <w:color w:val="1B2A4A"/>
          <w:sz w:val="22"/>
          <w:szCs w:val="22"/>
        </w:rPr>
        <w:t xml:space="preserve">The protocol addresses this through anonymous gap aggregation. When multiple students declare uncertainty about the same concept — whether through explicit gap registration or through low declared confidence before a relevant assessment — the system surfaces that concept as a collective gap without attributing it to any individual.</w:t>
      </w:r>
    </w:p>
    <w:p>
      <w:pPr>
        <w:spacing w:before="80" w:after="120"/>
        <w:jc w:val="both"/>
      </w:pPr>
      <w:r>
        <w:rPr>
          <w:rFonts w:ascii="Arial" w:cs="Arial" w:eastAsia="Arial" w:hAnsi="Arial"/>
          <w:b w:val="false"/>
          <w:bCs w:val="false"/>
          <w:i w:val="false"/>
          <w:iCs w:val="false"/>
          <w:color w:val="1B2A4A"/>
          <w:sz w:val="22"/>
          <w:szCs w:val="22"/>
        </w:rPr>
        <w:t xml:space="preserve">The teacher sees: "Recursion: high gap density across the class." They do not see who has the gap. Students who contributed to that signal are not identified, cannot be penalized, and are protected by the same GPL barrier and local vault architecture that protects software engineers' estimation data.</w:t>
      </w:r>
    </w:p>
    <w:p>
      <w:pPr>
        <w:spacing w:before="80" w:after="120"/>
        <w:jc w:val="both"/>
      </w:pPr>
      <w:r>
        <w:rPr>
          <w:rFonts w:ascii="Arial" w:cs="Arial" w:eastAsia="Arial" w:hAnsi="Arial"/>
          <w:b w:val="false"/>
          <w:bCs w:val="false"/>
          <w:i w:val="false"/>
          <w:iCs w:val="false"/>
          <w:color w:val="1B2A4A"/>
          <w:sz w:val="22"/>
          <w:szCs w:val="22"/>
        </w:rPr>
        <w:t xml:space="preserve">The effect is to make it structurally safe to not understand something. Admitting uncertainty to the system costs nothing socially — it is private, encrypted, and locally stored. The aggregate benefit — a teacher who knows where to focus — is shared by everyone, including those who never explicitly declared a gap.</w:t>
      </w:r>
    </w:p>
    <w:p>
      <w:pPr>
        <w:pStyle w:val="Heading2"/>
        <w:spacing w:before="280" w:after="120"/>
      </w:pPr>
      <w:r>
        <w:rPr>
          <w:rFonts w:ascii="Arial" w:cs="Arial" w:eastAsia="Arial" w:hAnsi="Arial"/>
          <w:b/>
          <w:bCs/>
          <w:color w:val="2E5FA3"/>
          <w:sz w:val="26"/>
          <w:szCs w:val="26"/>
        </w:rPr>
        <w:t xml:space="preserve">9.6 Integration with Messaging Platforms</w:t>
      </w:r>
    </w:p>
    <w:p>
      <w:pPr>
        <w:spacing w:before="80" w:after="120"/>
        <w:jc w:val="both"/>
      </w:pPr>
      <w:r>
        <w:rPr>
          <w:rFonts w:ascii="Arial" w:cs="Arial" w:eastAsia="Arial" w:hAnsi="Arial"/>
          <w:b w:val="false"/>
          <w:bCs w:val="false"/>
          <w:i w:val="false"/>
          <w:iCs w:val="false"/>
          <w:color w:val="1B2A4A"/>
          <w:sz w:val="22"/>
          <w:szCs w:val="22"/>
        </w:rPr>
        <w:t xml:space="preserve">The capture layer for educational gaps does not need to be a dedicated application. Students already use messaging platforms — Telegram, WhatsApp, Discord — as informal study coordination tools. A bot integration can convert the natural language of those conversations into structured gap declarations without requiring students to adopt new tools.</w:t>
      </w:r>
    </w:p>
    <w:p>
      <w:pPr>
        <w:spacing w:before="80" w:after="120"/>
        <w:jc w:val="both"/>
      </w:pPr>
      <w:r>
        <w:rPr>
          <w:rFonts w:ascii="Arial" w:cs="Arial" w:eastAsia="Arial" w:hAnsi="Arial"/>
          <w:b w:val="false"/>
          <w:bCs w:val="false"/>
          <w:i w:val="false"/>
          <w:iCs w:val="false"/>
          <w:color w:val="1B2A4A"/>
          <w:sz w:val="22"/>
          <w:szCs w:val="22"/>
        </w:rPr>
        <w:t xml:space="preserve">A student who sends "I don't understand how recursion terminates" to a study group bot receives:</w:t>
      </w:r>
    </w:p>
    <w:p>
      <w:pPr>
        <w:pStyle w:val="ListParagraph"/>
        <w:numPr>
          <w:ilvl w:val="0"/>
          <w:numId w:val="2"/>
        </w:numPr>
        <w:spacing w:before="60" w:after="60"/>
      </w:pPr>
      <w:r>
        <w:rPr>
          <w:rFonts w:ascii="Arial" w:cs="Arial" w:eastAsia="Arial" w:hAnsi="Arial"/>
          <w:b w:val="false"/>
          <w:bCs w:val="false"/>
          <w:color w:val="1B2A4A"/>
          <w:sz w:val="22"/>
          <w:szCs w:val="22"/>
        </w:rPr>
        <w:t xml:space="preserve">A prompt to estimate their current understanding: "On a scale where P20 = you'd fail a basic question and P80 = you'd pass a hard one, where are you now?"</w:t>
      </w:r>
    </w:p>
    <w:p>
      <w:pPr>
        <w:pStyle w:val="ListParagraph"/>
        <w:numPr>
          <w:ilvl w:val="0"/>
          <w:numId w:val="2"/>
        </w:numPr>
        <w:spacing w:before="60" w:after="60"/>
      </w:pPr>
      <w:r>
        <w:rPr>
          <w:rFonts w:ascii="Arial" w:cs="Arial" w:eastAsia="Arial" w:hAnsi="Arial"/>
          <w:b w:val="false"/>
          <w:bCs w:val="false"/>
          <w:color w:val="1B2A4A"/>
          <w:sz w:val="22"/>
          <w:szCs w:val="22"/>
        </w:rPr>
        <w:t xml:space="preserve">A connection to the concept cluster in the system, where other students' anonymized gaps on the same topic are aggregated</w:t>
      </w:r>
    </w:p>
    <w:p>
      <w:pPr>
        <w:pStyle w:val="ListParagraph"/>
        <w:numPr>
          <w:ilvl w:val="0"/>
          <w:numId w:val="2"/>
        </w:numPr>
        <w:spacing w:before="60" w:after="60"/>
      </w:pPr>
      <w:r>
        <w:rPr>
          <w:rFonts w:ascii="Arial" w:cs="Arial" w:eastAsia="Arial" w:hAnsi="Arial"/>
          <w:b w:val="false"/>
          <w:bCs w:val="false"/>
          <w:color w:val="1B2A4A"/>
          <w:sz w:val="22"/>
          <w:szCs w:val="22"/>
        </w:rPr>
        <w:t xml:space="preserve">A link to students who have resolved the same gap and are willing to help — identified by their expertise score on that concept, not by their grade</w:t>
      </w:r>
    </w:p>
    <w:p>
      <w:pPr>
        <w:spacing w:before="80" w:after="120"/>
        <w:jc w:val="both"/>
      </w:pPr>
      <w:r>
        <w:rPr>
          <w:rFonts w:ascii="Arial" w:cs="Arial" w:eastAsia="Arial" w:hAnsi="Arial"/>
          <w:b w:val="false"/>
          <w:bCs w:val="false"/>
          <w:i w:val="false"/>
          <w:iCs w:val="false"/>
          <w:color w:val="1B2A4A"/>
          <w:sz w:val="22"/>
          <w:szCs w:val="22"/>
        </w:rPr>
        <w:t xml:space="preserve">The peer-to-peer resolution layer creates a measurable expertise map without grades. A student who helps three others resolve a recursion gap has demonstrated recursion expertise more reliably than a single exam score could. That expertise score feeds into the bus factor calculation for the class: who is the single point of failure for understanding concept X, and what happens to the class if that student is absent?</w:t>
      </w:r>
    </w:p>
    <w:p>
      <w:pPr>
        <w:spacing w:before="80" w:after="120"/>
        <w:jc w:val="both"/>
      </w:pPr>
      <w:r>
        <w:rPr>
          <w:rFonts w:ascii="Arial" w:cs="Arial" w:eastAsia="Arial" w:hAnsi="Arial"/>
          <w:b w:val="false"/>
          <w:bCs w:val="false"/>
          <w:i w:val="false"/>
          <w:iCs w:val="false"/>
          <w:color w:val="1B2A4A"/>
          <w:sz w:val="22"/>
          <w:szCs w:val="22"/>
        </w:rPr>
        <w:t xml:space="preserve">The teacher receives the bus factor map. They cannot see which student holds the expertise — only that it is dangerously concentrated and that the curriculum should distribute it.</w:t>
      </w:r>
    </w:p>
    <w:p>
      <w:pPr>
        <w:pStyle w:val="Heading2"/>
        <w:spacing w:before="280" w:after="120"/>
      </w:pPr>
      <w:r>
        <w:rPr>
          <w:rFonts w:ascii="Arial" w:cs="Arial" w:eastAsia="Arial" w:hAnsi="Arial"/>
          <w:b/>
          <w:bCs/>
          <w:color w:val="2E5FA3"/>
          <w:sz w:val="26"/>
          <w:szCs w:val="26"/>
        </w:rPr>
        <w:t xml:space="preserve">9.7 The ConfidenceNode0 Seal in Education</w:t>
      </w:r>
    </w:p>
    <w:p>
      <w:pPr>
        <w:spacing w:before="80" w:after="120"/>
        <w:jc w:val="both"/>
      </w:pPr>
      <w:r>
        <w:rPr>
          <w:rFonts w:ascii="Arial" w:cs="Arial" w:eastAsia="Arial" w:hAnsi="Arial"/>
          <w:b w:val="false"/>
          <w:bCs w:val="false"/>
          <w:i w:val="false"/>
          <w:iCs w:val="false"/>
          <w:color w:val="1B2A4A"/>
          <w:sz w:val="22"/>
          <w:szCs w:val="22"/>
        </w:rPr>
        <w:t xml:space="preserve">Educational institutions that adopt the protocol commit to the same principles as software organizations: estimation data — in this context, study effort declarations and confidence intervals — will not be used in grading, disciplinary decisions, or any form of student evaluation.</w:t>
      </w:r>
    </w:p>
    <w:p>
      <w:pPr>
        <w:spacing w:before="80" w:after="120"/>
        <w:jc w:val="both"/>
      </w:pPr>
      <w:r>
        <w:rPr>
          <w:rFonts w:ascii="Arial" w:cs="Arial" w:eastAsia="Arial" w:hAnsi="Arial"/>
          <w:b w:val="false"/>
          <w:bCs w:val="false"/>
          <w:i w:val="false"/>
          <w:iCs w:val="false"/>
          <w:color w:val="1B2A4A"/>
          <w:sz w:val="22"/>
          <w:szCs w:val="22"/>
        </w:rPr>
        <w:t xml:space="preserve">The seal certifies that a student's honest declaration of "I don't understand this" cannot be used against them. That commitment is the prerequisite for the system to produce honest data. Without it, students will optimize their declarations for safety rather than accuracy, and the aggregate signal will degrade into noise — exactly as happens with software estimates when engineers fear honesty.</w:t>
      </w:r>
    </w:p>
    <w:p>
      <w:pPr>
        <w:spacing w:before="80" w:after="120"/>
        <w:jc w:val="both"/>
      </w:pPr>
      <w:r>
        <w:rPr>
          <w:rFonts w:ascii="Arial" w:cs="Arial" w:eastAsia="Arial" w:hAnsi="Arial"/>
          <w:b w:val="false"/>
          <w:bCs w:val="false"/>
          <w:i w:val="false"/>
          <w:iCs w:val="false"/>
          <w:color w:val="1B2A4A"/>
          <w:sz w:val="22"/>
          <w:szCs w:val="22"/>
        </w:rPr>
        <w:t xml:space="preserve">The long-term value of the seal in education is empirical: institutions that hold it will accumulate data showing whether honest metacognitive declaration, protected from evaluation use, produces better learning outcomes than conventional assessment-driven approaches. That comparison is the educational equivalent of the software performance delta described in Section 6.2.</w:t>
      </w:r>
    </w:p>
    <w:p>
      <w:pPr>
        <w:spacing w:before="80" w:after="120"/>
        <w:jc w:val="both"/>
      </w:pPr>
      <w:r>
        <w:rPr>
          <w:rFonts w:ascii="Arial" w:cs="Arial" w:eastAsia="Arial" w:hAnsi="Arial"/>
          <w:b w:val="false"/>
          <w:bCs w:val="false"/>
          <w:i w:val="false"/>
          <w:iCs w:val="false"/>
          <w:color w:val="1B2A4A"/>
          <w:sz w:val="22"/>
          <w:szCs w:val="22"/>
        </w:rPr>
        <w:t xml:space="preserve">If the data shows a significant positive delta — and the theoretical basis for expecting one is strong — the seal becomes a competitive signal in a market where students choose institutions. An institution that can demonstrate better calibrated graduates, not just higher-scoring ones, has a differentiated value proposition.</w:t>
      </w:r>
    </w:p>
    <w:p>
      <w:pPr>
        <w:pBdr>
          <w:bottom w:val="single" w:color="CCCCCC" w:sz="4" w:space="1"/>
        </w:pBdr>
        <w:spacing w:before="200" w:after="200"/>
      </w:pPr>
      <w:r>
        <w:t xml:space="preserve"/>
      </w:r>
    </w:p>
    <w:p>
      <w:pPr>
        <w:spacing w:before="80" w:after="120"/>
        <w:jc w:val="center"/>
      </w:pPr>
      <w:r>
        <w:rPr>
          <w:rFonts w:ascii="Arial" w:cs="Arial" w:eastAsia="Arial" w:hAnsi="Arial"/>
          <w:b w:val="false"/>
          <w:bCs w:val="false"/>
          <w:i/>
          <w:iCs/>
          <w:color w:val="999999"/>
          <w:sz w:val="22"/>
          <w:szCs w:val="22"/>
        </w:rPr>
        <w:t xml:space="preserve">This section will be incorporated into Whitepaper v0.2.</w:t>
      </w:r>
    </w:p>
    <w:p>
      <w:pPr>
        <w:spacing w:before="80" w:after="120"/>
        <w:jc w:val="center"/>
      </w:pPr>
      <w:r>
        <w:rPr>
          <w:rFonts w:ascii="Arial" w:cs="Arial" w:eastAsia="Arial" w:hAnsi="Arial"/>
          <w:b w:val="false"/>
          <w:bCs w:val="false"/>
          <w:i w:val="false"/>
          <w:iCs w:val="false"/>
          <w:color w:val="4A7FC1"/>
          <w:sz w:val="18"/>
          <w:szCs w:val="18"/>
        </w:rPr>
        <w:t xml:space="preserve">ConfidenceNode Protocol — confidencenode.org — March 2026</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ConfidenceNode Protocol v0.1  —  Section 9 Addendum  —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2026-03-13T10:55:04.417Z</dcterms:created>
  <dcterms:modified xsi:type="dcterms:W3CDTF">2026-03-13T10:55:04.421Z</dcterms:modified>
</cp:coreProperties>
</file>

<file path=docProps/custom.xml><?xml version="1.0" encoding="utf-8"?>
<Properties xmlns="http://schemas.openxmlformats.org/officeDocument/2006/custom-properties" xmlns:vt="http://schemas.openxmlformats.org/officeDocument/2006/docPropsVTypes"/>
</file>