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60" w:line="276" w:lineRule="auto"/>
      </w:pPr>
      <w:r>
        <w:rPr>
          <w:b/>
          <w:bCs/>
          <w:color w:val="943537"/>
          <w:spacing w:val="40"/>
          <w:sz w:val="15"/>
          <w:szCs w:val="15"/>
        </w:rPr>
        <w:t>CONFIDENTLY WRONG  ·  INSTRUMENT 1 OF 4</w:t>
      </w:r>
    </w:p>
    <w:p>
      <w:pPr>
        <w:spacing w:before="60" w:after="80" w:line="320" w:lineRule="auto"/>
      </w:pPr>
      <w:r>
        <w:rPr>
          <w:rFonts w:ascii="Georgia" w:eastAsia="Georgia" w:hAnsi="Georgia" w:cs="Georgia"/>
          <w:color w:val="1C1A1A"/>
          <w:sz w:val="40"/>
          <w:szCs w:val="40"/>
        </w:rPr>
        <w:t>The Personal ARI Worksheet</w:t>
      </w:r>
    </w:p>
    <w:p>
      <w:pPr>
        <w:pBdr>
          <w:bottom w:val="single" w:sz="12" w:space="8" w:color="943537"/>
        </w:pBdr>
        <w:spacing w:after="140" w:line="276" w:lineRule="auto"/>
      </w:pPr>
      <w:r>
        <w:rPr>
          <w:rFonts w:ascii="Georgia" w:eastAsia="Georgia" w:hAnsi="Georgia" w:cs="Georgia"/>
          <w:i/>
          <w:iCs/>
          <w:sz w:val="22"/>
          <w:szCs w:val="22"/>
        </w:rPr>
        <w:t>Fifteen minutes, one decision, one sheet. It makes the architecture around a single routine decision visible.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single" w:sz="4" w:space="0" w:color="FFFFFF"/>
            </w:tcBorders>
            <w:shd w:val="clear" w:color="auto" w:fill="F5F2EE"/>
            <w:tcMar>
              <w:top w:w="90" w:type="dxa"/>
              <w:left w:w="120" w:type="dxa"/>
              <w:bottom w:w="90" w:type="dxa"/>
              <w:right w:w="120" w:type="dxa"/>
            </w:tcMar>
          </w:tcPr>
          <w:p>
            <w:pPr>
              <w:spacing w:after="20" w:line="276" w:lineRule="auto"/>
            </w:pPr>
            <w:r>
              <w:rPr>
                <w:b/>
                <w:bCs/>
                <w:color w:val="943537"/>
                <w:spacing w:val="30"/>
                <w:sz w:val="14"/>
                <w:szCs w:val="14"/>
              </w:rPr>
              <w:t>WHEN</w:t>
            </w:r>
          </w:p>
          <w:p>
            <w:pPr>
              <w:spacing w:line="276" w:lineRule="auto"/>
            </w:pPr>
            <w:r>
              <w:rPr>
                <w:color w:val="1C1A1A"/>
                <w:sz w:val="18"/>
                <w:szCs w:val="18"/>
              </w:rPr>
              <w:t>Before the program, again at day ninety and at eighteen months</w:t>
            </w:r>
          </w:p>
        </w:tc>
        <w:tc>
          <w:tcPr>
            <w:tcW w:w="4953" w:type="dxa"/>
            <w:tcBorders>
              <w:top w:val="none" w:sz="0" w:space="0" w:color="FFFFFF"/>
              <w:left w:val="none" w:sz="0" w:space="0" w:color="FFFFFF"/>
              <w:bottom w:val="none" w:sz="0" w:space="0" w:color="FFFFFF"/>
              <w:right w:val="none" w:sz="0" w:space="0" w:color="FFFFFF"/>
            </w:tcBorders>
            <w:shd w:val="clear" w:color="auto" w:fill="F5F2EE"/>
            <w:tcMar>
              <w:top w:w="90" w:type="dxa"/>
              <w:left w:w="120" w:type="dxa"/>
              <w:bottom w:w="90" w:type="dxa"/>
              <w:right w:w="120" w:type="dxa"/>
            </w:tcMar>
          </w:tcPr>
          <w:p>
            <w:pPr>
              <w:spacing w:after="20" w:line="276" w:lineRule="auto"/>
            </w:pPr>
            <w:r>
              <w:rPr>
                <w:b/>
                <w:bCs/>
                <w:color w:val="943537"/>
                <w:spacing w:val="30"/>
                <w:sz w:val="14"/>
                <w:szCs w:val="14"/>
              </w:rPr>
              <w:t>WHAT IT HANDS ON</w:t>
            </w:r>
          </w:p>
          <w:p>
            <w:pPr>
              <w:spacing w:line="276" w:lineRule="auto"/>
            </w:pPr>
            <w:r>
              <w:rPr>
                <w:color w:val="1C1A1A"/>
                <w:sz w:val="18"/>
                <w:szCs w:val="18"/>
              </w:rPr>
              <w:t>Where to begin, then the numbers for the board</w:t>
            </w:r>
          </w:p>
        </w:tc>
      </w:tr>
    </w:tbl>
    <w:p>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600"/>
        <w:gridCol w:w="600"/>
        <w:gridCol w:w="2406"/>
      </w:tblGrid>
      <w:tr>
        <w:tblPrEx>
          <w:tblCellMar>
            <w:top w:w="0" w:type="dxa"/>
            <w:bottom w:w="0" w:type="dxa"/>
          </w:tblCellMar>
        </w:tblPrEx>
        <w:trPr>
          <w:cantSplit/>
          <w:trHeight w:val="420"/>
        </w:trPr>
        <w:tc>
          <w:tcPr>
            <w:tcW w:w="13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The decision</w:t>
            </w:r>
          </w:p>
        </w:tc>
        <w:tc>
          <w:tcPr>
            <w:tcW w:w="56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6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Date</w:t>
            </w:r>
          </w:p>
        </w:tc>
        <w:tc>
          <w:tcPr>
            <w:tcW w:w="24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blPrEx>
          <w:tblCellMar>
            <w:top w:w="0" w:type="dxa"/>
            <w:bottom w:w="0" w:type="dxa"/>
          </w:tblCellMar>
        </w:tblPrEx>
        <w:trPr>
          <w:cantSplit/>
        </w:trPr>
        <w:tc>
          <w:tcPr>
            <w:tcW w:w="9906" w:type="dxa"/>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line="276" w:lineRule="auto"/>
            </w:pPr>
            <w:r>
              <w:t>Pick something recurring and medium-consequence that you or your peers handle at least monthly. A hiring approval, a pricing exception, a forecast revision, an escalated customer, a supplier evaluation. Strategic one-offs have no architecture to measure, so leave them out.</w:t>
            </w:r>
          </w:p>
        </w:tc>
      </w:tr>
    </w:tbl>
    <w:p>
      <w:pPr>
        <w:keepNext/>
        <w:spacing w:before="260" w:after="100" w:line="276" w:lineRule="auto"/>
      </w:pPr>
      <w:r>
        <w:rPr>
          <w:rFonts w:ascii="Georgia" w:eastAsia="Georgia" w:hAnsi="Georgia" w:cs="Georgia"/>
          <w:color w:val="1C1A1A"/>
          <w:sz w:val="27"/>
          <w:szCs w:val="27"/>
        </w:rPr>
        <w:t>Read these four notes before you score anything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tblPrEx>
          <w:tblCellMar>
            <w:top w:w="0" w:type="dxa"/>
            <w:bottom w:w="0" w:type="dxa"/>
          </w:tblCellMar>
        </w:tblPrEx>
        <w:trPr>
          <w:cantSplit/>
        </w:trPr>
        <w:tc>
          <w:tcPr>
            <w:tcW w:w="4953"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after="40" w:line="276" w:lineRule="auto"/>
            </w:pPr>
            <w:r>
              <w:rPr>
                <w:b/>
                <w:bCs/>
                <w:color w:val="1C1A1A"/>
                <w:sz w:val="18"/>
                <w:szCs w:val="18"/>
              </w:rPr>
              <w:t>Ontology</w:t>
            </w:r>
          </w:p>
          <w:p>
            <w:pPr>
              <w:spacing w:line="276" w:lineRule="auto"/>
            </w:pPr>
            <w:r>
              <w:rPr>
                <w:sz w:val="18"/>
                <w:szCs w:val="18"/>
              </w:rPr>
              <w:t>The question is whether the systems agree on what things mean, which is a different thing from whether they are connected. Two systems holding the word customer and counting different things score badly however well they are wired together.</w:t>
            </w:r>
          </w:p>
        </w:tc>
        <w:tc>
          <w:tcPr>
            <w:tcW w:w="4953"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after="40" w:line="276" w:lineRule="auto"/>
            </w:pPr>
            <w:r>
              <w:rPr>
                <w:b/>
                <w:bCs/>
                <w:color w:val="1C1A1A"/>
                <w:sz w:val="18"/>
                <w:szCs w:val="18"/>
              </w:rPr>
              <w:t>Judgment</w:t>
            </w:r>
          </w:p>
          <w:p>
            <w:pPr>
              <w:spacing w:line="276" w:lineRule="auto"/>
            </w:pPr>
            <w:r>
              <w:rPr>
                <w:sz w:val="18"/>
                <w:szCs w:val="18"/>
              </w:rPr>
              <w:t>The name says judgment and the question measures agreement, and the two separate under pressure. Three people trained in the same place share a blind spot and agree perfectly. Somebody holding expertise nobody else has will drag the score down while being the most valuable person in the process. Score the spread, then ask those three to explain themselves before you decide what a low number means.</w:t>
            </w:r>
          </w:p>
        </w:tc>
      </w:tr>
      <w:tr>
        <w:tblPrEx>
          <w:tblCellMar>
            <w:top w:w="0" w:type="dxa"/>
            <w:bottom w:w="0" w:type="dxa"/>
          </w:tblCellMar>
        </w:tblPrEx>
        <w:trPr>
          <w:cantSplit/>
        </w:trPr>
        <w:tc>
          <w:tcPr>
            <w:tcW w:w="4953"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after="40" w:line="276" w:lineRule="auto"/>
            </w:pPr>
            <w:r>
              <w:rPr>
                <w:b/>
                <w:bCs/>
                <w:color w:val="1C1A1A"/>
                <w:sz w:val="18"/>
                <w:szCs w:val="18"/>
              </w:rPr>
              <w:t>Decision</w:t>
            </w:r>
          </w:p>
          <w:p>
            <w:pPr>
              <w:spacing w:line="276" w:lineRule="auto"/>
            </w:pPr>
            <w:r>
              <w:rPr>
                <w:sz w:val="18"/>
                <w:szCs w:val="18"/>
              </w:rPr>
              <w:t>Score against what the decision can tolerate. Some decisions should happen overnight. A hiring approval issued in four minutes is a symptom.</w:t>
            </w:r>
          </w:p>
        </w:tc>
        <w:tc>
          <w:tcPr>
            <w:tcW w:w="4953"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after="40" w:line="276" w:lineRule="auto"/>
            </w:pPr>
            <w:r>
              <w:rPr>
                <w:b/>
                <w:bCs/>
                <w:color w:val="1C1A1A"/>
                <w:sz w:val="18"/>
                <w:szCs w:val="18"/>
              </w:rPr>
              <w:t>Scale</w:t>
            </w:r>
          </w:p>
          <w:p>
            <w:pPr>
              <w:spacing w:line="276" w:lineRule="auto"/>
            </w:pPr>
            <w:r>
              <w:rPr>
                <w:sz w:val="18"/>
                <w:szCs w:val="18"/>
              </w:rPr>
              <w:t>A high score raises your audit obligation. Individualization at scale is the mechanism that lets a proxy, a stand-in variable such as a postcode standing in for something the company may not use, reach every customer in a quarter. Where this decision touches people, a strong S means somebody owes an audit.</w:t>
            </w:r>
          </w:p>
        </w:tc>
      </w:tr>
    </w:tbl>
    <w:p>
      <w:pPr>
        <w:keepNext/>
        <w:spacing w:before="260" w:after="100" w:line="276" w:lineRule="auto"/>
      </w:pPr>
      <w:r>
        <w:rPr>
          <w:rFonts w:ascii="Georgia" w:eastAsia="Georgia" w:hAnsi="Georgia" w:cs="Georgia"/>
          <w:color w:val="1C1A1A"/>
          <w:sz w:val="27"/>
          <w:szCs w:val="27"/>
        </w:rPr>
        <w:t>The scale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6"/>
        <w:gridCol w:w="2400"/>
        <w:gridCol w:w="2400"/>
      </w:tblGrid>
      <w:tr>
        <w:tblPrEx>
          <w:tblCellMar>
            <w:top w:w="0" w:type="dxa"/>
            <w:bottom w:w="0" w:type="dxa"/>
          </w:tblCellMar>
        </w:tblPrEx>
        <w:trPr>
          <w:cantSplit/>
          <w:tblHeader/>
        </w:trPr>
        <w:tc>
          <w:tcPr>
            <w:tcW w:w="15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Dimension</w:t>
            </w:r>
          </w:p>
        </w:tc>
        <w:tc>
          <w:tcPr>
            <w:tcW w:w="36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Question</w:t>
            </w:r>
          </w:p>
        </w:tc>
        <w:tc>
          <w:tcPr>
            <w:tcW w:w="24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Level 0 (0.0)</w:t>
            </w:r>
          </w:p>
        </w:tc>
        <w:tc>
          <w:tcPr>
            <w:tcW w:w="24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Level 5 (1.0)</w:t>
            </w: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O  Ontology</w:t>
            </w:r>
          </w:p>
        </w:tc>
        <w:tc>
          <w:tcPr>
            <w:tcW w:w="36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Do the sources feeding this decision agree on what the entities mean?</w:t>
            </w:r>
          </w:p>
        </w:tc>
        <w:tc>
          <w:tcPr>
            <w:tcW w:w="24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Several systems, incompatible definitions</w:t>
            </w:r>
          </w:p>
        </w:tc>
        <w:tc>
          <w:tcPr>
            <w:tcW w:w="24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One shared definition, queryable while deciding</w:t>
            </w: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J  Judgment</w:t>
            </w:r>
          </w:p>
        </w:tc>
        <w:tc>
          <w:tcPr>
            <w:tcW w:w="36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Three colleagues, same inputs, deciding separately. How far apart do the answers land?</w:t>
            </w:r>
          </w:p>
        </w:tc>
        <w:tc>
          <w:tcPr>
            <w:tcW w:w="24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Three different answers, guaranteed</w:t>
            </w:r>
          </w:p>
        </w:tc>
        <w:tc>
          <w:tcPr>
            <w:tcW w:w="24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Three answers inside a narrow band</w:t>
            </w: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D  Decision</w:t>
            </w:r>
          </w:p>
        </w:tc>
        <w:tc>
          <w:tcPr>
            <w:tcW w:w="36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How long between the fact existing somewhere in the company and the decision being made, measured against what the decision can tolerate?</w:t>
            </w:r>
          </w:p>
        </w:tc>
        <w:tc>
          <w:tcPr>
            <w:tcW w:w="24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Far slower than the decision can bear, often a full reporting cycle</w:t>
            </w:r>
          </w:p>
        </w:tc>
        <w:tc>
          <w:tcPr>
            <w:tcW w:w="24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As fast as the decision can use, and no faster</w:t>
            </w: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S  Scale</w:t>
            </w:r>
          </w:p>
        </w:tc>
        <w:tc>
          <w:tcPr>
            <w:tcW w:w="36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Shaped to the case in front of you, or a template across a category?</w:t>
            </w:r>
          </w:p>
        </w:tc>
        <w:tc>
          <w:tcPr>
            <w:tcW w:w="24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The identical answer every time</w:t>
            </w:r>
          </w:p>
        </w:tc>
        <w:tc>
          <w:tcPr>
            <w:tcW w:w="24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Genuine individualization across the whole population</w:t>
            </w:r>
          </w:p>
        </w:tc>
      </w:tr>
    </w:tbl>
    <w:p>
      <w:pPr>
        <w:spacing w:before="60" w:after="100" w:line="276" w:lineRule="auto"/>
      </w:pPr>
      <w:r>
        <w:rPr>
          <w:i/>
          <w:iCs/>
          <w:color w:val="6B6461"/>
          <w:sz w:val="17"/>
          <w:szCs w:val="17"/>
        </w:rPr>
        <w:lastRenderedPageBreak/>
        <w:t>Level 1, ad hoc, is 0.2. Level 2, structured, is 0.4. Level 3, systematic, is 0.6. Level 4, optimized, is 0.8. Level 0 is absent and Level 5 is self-correcting. Most honest answers sit in the middle.</w:t>
      </w:r>
    </w:p>
    <w:p>
      <w:pPr>
        <w:keepNext/>
        <w:spacing w:before="260" w:after="100" w:line="276" w:lineRule="auto"/>
      </w:pPr>
      <w:r>
        <w:rPr>
          <w:rFonts w:ascii="Georgia" w:eastAsia="Georgia" w:hAnsi="Georgia" w:cs="Georgia"/>
          <w:color w:val="1C1A1A"/>
          <w:sz w:val="27"/>
          <w:szCs w:val="27"/>
        </w:rPr>
        <w:t>Your scores</w:t>
      </w:r>
    </w:p>
    <w:p>
      <w:pPr>
        <w:spacing w:after="100" w:line="276" w:lineRule="auto"/>
      </w:pPr>
      <w:r>
        <w:rPr>
          <w:sz w:val="18"/>
          <w:szCs w:val="18"/>
        </w:rPr>
        <w:t>Enter each score as a decimal from 0.0 to 1.0. The second score comes from one of the two passes at the end of this sheet. Day 90 and month 18 score the same decision again; together with your first score they become the columns of the board slide.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1900"/>
        <w:gridCol w:w="1900"/>
        <w:gridCol w:w="1900"/>
        <w:gridCol w:w="1900"/>
      </w:tblGrid>
      <w:tr>
        <w:tblPrEx>
          <w:tblCellMar>
            <w:top w:w="0" w:type="dxa"/>
            <w:bottom w:w="0" w:type="dxa"/>
          </w:tblCellMar>
        </w:tblPrEx>
        <w:trPr>
          <w:cantSplit/>
          <w:tblHeader/>
        </w:trPr>
        <w:tc>
          <w:tcPr>
            <w:tcW w:w="23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Dimension</w:t>
            </w:r>
          </w:p>
        </w:tc>
        <w:tc>
          <w:tcPr>
            <w:tcW w:w="19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Your score</w:t>
            </w:r>
          </w:p>
        </w:tc>
        <w:tc>
          <w:tcPr>
            <w:tcW w:w="19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Second score</w:t>
            </w:r>
          </w:p>
        </w:tc>
        <w:tc>
          <w:tcPr>
            <w:tcW w:w="19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Day 90</w:t>
            </w:r>
          </w:p>
        </w:tc>
        <w:tc>
          <w:tcPr>
            <w:tcW w:w="19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Month 18</w:t>
            </w:r>
          </w:p>
        </w:tc>
      </w:tr>
      <w:tr>
        <w:tblPrEx>
          <w:tblCellMar>
            <w:top w:w="0" w:type="dxa"/>
            <w:bottom w:w="0" w:type="dxa"/>
          </w:tblCellMar>
        </w:tblPrEx>
        <w:trPr>
          <w:cantSplit/>
          <w:trHeight w:val="460"/>
        </w:trPr>
        <w:tc>
          <w:tcPr>
            <w:tcW w:w="2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O  Ontology</w:t>
            </w: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460"/>
        </w:trPr>
        <w:tc>
          <w:tcPr>
            <w:tcW w:w="2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J  Judgment</w:t>
            </w: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460"/>
        </w:trPr>
        <w:tc>
          <w:tcPr>
            <w:tcW w:w="2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D  Decision</w:t>
            </w: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460"/>
        </w:trPr>
        <w:tc>
          <w:tcPr>
            <w:tcW w:w="23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S  Scale</w:t>
            </w: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9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bl>
    <w:p>
      <w:pPr>
        <w:keepNext/>
        <w:spacing w:before="260" w:after="100" w:line="276" w:lineRule="auto"/>
      </w:pPr>
      <w:r>
        <w:rPr>
          <w:rFonts w:ascii="Georgia" w:eastAsia="Georgia" w:hAnsi="Georgia" w:cs="Georgia"/>
          <w:color w:val="1C1A1A"/>
          <w:sz w:val="27"/>
          <w:szCs w:val="27"/>
        </w:rPr>
        <w:t>The arithmetic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7600"/>
      </w:tblGrid>
      <w:tr>
        <w:tblPrEx>
          <w:tblCellMar>
            <w:top w:w="0" w:type="dxa"/>
            <w:bottom w:w="0" w:type="dxa"/>
          </w:tblCellMar>
        </w:tblPrEx>
        <w:trPr>
          <w:cantSplit/>
          <w:trHeight w:val="480"/>
        </w:trPr>
        <w:tc>
          <w:tcPr>
            <w:tcW w:w="2306" w:type="dxa"/>
            <w:tcBorders>
              <w:top w:val="none" w:sz="0" w:space="0" w:color="FFFFFF"/>
              <w:left w:val="none" w:sz="0" w:space="0" w:color="FFFFFF"/>
              <w:bottom w:val="single" w:sz="4" w:space="0" w:color="D6D0C8"/>
              <w:right w:val="none" w:sz="0" w:space="0" w:color="FFFFFF"/>
            </w:tcBorders>
            <w:tcMar>
              <w:top w:w="90" w:type="dxa"/>
              <w:left w:w="120" w:type="dxa"/>
              <w:bottom w:w="90" w:type="dxa"/>
              <w:right w:w="120" w:type="dxa"/>
            </w:tcMar>
          </w:tcPr>
          <w:p>
            <w:pPr>
              <w:spacing w:line="276" w:lineRule="auto"/>
            </w:pPr>
            <w:r>
              <w:rPr>
                <w:b/>
                <w:bCs/>
                <w:color w:val="1C1A1A"/>
                <w:sz w:val="18"/>
                <w:szCs w:val="18"/>
              </w:rPr>
              <w:t>Your score</w:t>
            </w:r>
          </w:p>
        </w:tc>
        <w:tc>
          <w:tcPr>
            <w:tcW w:w="7600" w:type="dxa"/>
            <w:tcBorders>
              <w:top w:val="none" w:sz="0" w:space="0" w:color="FFFFFF"/>
              <w:left w:val="none" w:sz="0" w:space="0" w:color="FFFFFF"/>
              <w:bottom w:val="single" w:sz="4" w:space="0" w:color="D6D0C8"/>
              <w:right w:val="none" w:sz="0" w:space="0" w:color="FFFFFF"/>
            </w:tcBorders>
            <w:tcMar>
              <w:top w:w="90" w:type="dxa"/>
              <w:left w:w="120" w:type="dxa"/>
              <w:bottom w:w="90" w:type="dxa"/>
              <w:right w:w="120" w:type="dxa"/>
            </w:tcMar>
          </w:tcPr>
          <w:p>
            <w:pPr>
              <w:spacing w:line="276" w:lineRule="auto"/>
            </w:pPr>
            <w:r>
              <w:rPr>
                <w:sz w:val="18"/>
                <w:szCs w:val="18"/>
              </w:rPr>
              <w:t xml:space="preserve">O ______  ×  J ______  ×  D ______  ×  S ______   =   </w:t>
            </w:r>
            <w:r>
              <w:rPr>
                <w:b/>
                <w:bCs/>
                <w:color w:val="1C1A1A"/>
                <w:sz w:val="18"/>
                <w:szCs w:val="18"/>
              </w:rPr>
              <w:t>________</w:t>
            </w:r>
          </w:p>
        </w:tc>
      </w:tr>
      <w:tr>
        <w:tblPrEx>
          <w:tblCellMar>
            <w:top w:w="0" w:type="dxa"/>
            <w:bottom w:w="0" w:type="dxa"/>
          </w:tblCellMar>
        </w:tblPrEx>
        <w:trPr>
          <w:cantSplit/>
          <w:trHeight w:val="480"/>
        </w:trPr>
        <w:tc>
          <w:tcPr>
            <w:tcW w:w="2306" w:type="dxa"/>
            <w:tcBorders>
              <w:top w:val="none" w:sz="0" w:space="0" w:color="FFFFFF"/>
              <w:left w:val="none" w:sz="0" w:space="0" w:color="FFFFFF"/>
              <w:bottom w:val="single" w:sz="4" w:space="0" w:color="D6D0C8"/>
              <w:right w:val="none" w:sz="0" w:space="0" w:color="FFFFFF"/>
            </w:tcBorders>
            <w:tcMar>
              <w:top w:w="90" w:type="dxa"/>
              <w:left w:w="120" w:type="dxa"/>
              <w:bottom w:w="90" w:type="dxa"/>
              <w:right w:w="120" w:type="dxa"/>
            </w:tcMar>
          </w:tcPr>
          <w:p>
            <w:pPr>
              <w:spacing w:line="276" w:lineRule="auto"/>
            </w:pPr>
            <w:r>
              <w:rPr>
                <w:b/>
                <w:bCs/>
                <w:color w:val="1C1A1A"/>
                <w:sz w:val="18"/>
                <w:szCs w:val="18"/>
              </w:rPr>
              <w:t>Second score</w:t>
            </w:r>
          </w:p>
        </w:tc>
        <w:tc>
          <w:tcPr>
            <w:tcW w:w="7600" w:type="dxa"/>
            <w:tcBorders>
              <w:top w:val="none" w:sz="0" w:space="0" w:color="FFFFFF"/>
              <w:left w:val="none" w:sz="0" w:space="0" w:color="FFFFFF"/>
              <w:bottom w:val="single" w:sz="4" w:space="0" w:color="D6D0C8"/>
              <w:right w:val="none" w:sz="0" w:space="0" w:color="FFFFFF"/>
            </w:tcBorders>
            <w:tcMar>
              <w:top w:w="90" w:type="dxa"/>
              <w:left w:w="120" w:type="dxa"/>
              <w:bottom w:w="90" w:type="dxa"/>
              <w:right w:w="120" w:type="dxa"/>
            </w:tcMar>
          </w:tcPr>
          <w:p>
            <w:pPr>
              <w:spacing w:line="276" w:lineRule="auto"/>
            </w:pPr>
            <w:r>
              <w:rPr>
                <w:sz w:val="18"/>
                <w:szCs w:val="18"/>
              </w:rPr>
              <w:t xml:space="preserve">O ______  ×  J ______  ×  D ______  ×  S ______   =   </w:t>
            </w:r>
            <w:r>
              <w:rPr>
                <w:b/>
                <w:bCs/>
                <w:color w:val="1C1A1A"/>
                <w:sz w:val="18"/>
                <w:szCs w:val="18"/>
              </w:rPr>
              <w:t>________</w:t>
            </w:r>
          </w:p>
        </w:tc>
      </w:tr>
      <w:tr>
        <w:tblPrEx>
          <w:tblCellMar>
            <w:top w:w="0" w:type="dxa"/>
            <w:bottom w:w="0" w:type="dxa"/>
          </w:tblCellMar>
        </w:tblPrEx>
        <w:trPr>
          <w:cantSplit/>
          <w:trHeight w:val="480"/>
        </w:trPr>
        <w:tc>
          <w:tcPr>
            <w:tcW w:w="2306" w:type="dxa"/>
            <w:tcBorders>
              <w:top w:val="none" w:sz="0" w:space="0" w:color="FFFFFF"/>
              <w:left w:val="none" w:sz="0" w:space="0" w:color="FFFFFF"/>
              <w:bottom w:val="single" w:sz="4" w:space="0" w:color="D6D0C8"/>
              <w:right w:val="none" w:sz="0" w:space="0" w:color="FFFFFF"/>
            </w:tcBorders>
            <w:tcMar>
              <w:top w:w="90" w:type="dxa"/>
              <w:left w:w="120" w:type="dxa"/>
              <w:bottom w:w="90" w:type="dxa"/>
              <w:right w:w="120" w:type="dxa"/>
            </w:tcMar>
          </w:tcPr>
          <w:p>
            <w:pPr>
              <w:spacing w:line="276" w:lineRule="auto"/>
            </w:pPr>
            <w:r>
              <w:rPr>
                <w:b/>
                <w:bCs/>
                <w:color w:val="1C1A1A"/>
                <w:sz w:val="18"/>
                <w:szCs w:val="18"/>
              </w:rPr>
              <w:t>Day 90</w:t>
            </w:r>
          </w:p>
        </w:tc>
        <w:tc>
          <w:tcPr>
            <w:tcW w:w="7600" w:type="dxa"/>
            <w:tcBorders>
              <w:top w:val="none" w:sz="0" w:space="0" w:color="FFFFFF"/>
              <w:left w:val="none" w:sz="0" w:space="0" w:color="FFFFFF"/>
              <w:bottom w:val="single" w:sz="4" w:space="0" w:color="D6D0C8"/>
              <w:right w:val="none" w:sz="0" w:space="0" w:color="FFFFFF"/>
            </w:tcBorders>
            <w:tcMar>
              <w:top w:w="90" w:type="dxa"/>
              <w:left w:w="120" w:type="dxa"/>
              <w:bottom w:w="90" w:type="dxa"/>
              <w:right w:w="120" w:type="dxa"/>
            </w:tcMar>
          </w:tcPr>
          <w:p>
            <w:pPr>
              <w:spacing w:line="276" w:lineRule="auto"/>
            </w:pPr>
            <w:r>
              <w:rPr>
                <w:sz w:val="18"/>
                <w:szCs w:val="18"/>
              </w:rPr>
              <w:t xml:space="preserve">O ______  ×  J ______  ×  D ______  ×  S ______   =   </w:t>
            </w:r>
            <w:r>
              <w:rPr>
                <w:b/>
                <w:bCs/>
                <w:color w:val="1C1A1A"/>
                <w:sz w:val="18"/>
                <w:szCs w:val="18"/>
              </w:rPr>
              <w:t>________</w:t>
            </w:r>
          </w:p>
        </w:tc>
      </w:tr>
      <w:tr>
        <w:tblPrEx>
          <w:tblCellMar>
            <w:top w:w="0" w:type="dxa"/>
            <w:bottom w:w="0" w:type="dxa"/>
          </w:tblCellMar>
        </w:tblPrEx>
        <w:trPr>
          <w:cantSplit/>
          <w:trHeight w:val="480"/>
        </w:trPr>
        <w:tc>
          <w:tcPr>
            <w:tcW w:w="2306" w:type="dxa"/>
            <w:tcBorders>
              <w:top w:val="none" w:sz="0" w:space="0" w:color="FFFFFF"/>
              <w:left w:val="none" w:sz="0" w:space="0" w:color="FFFFFF"/>
              <w:bottom w:val="single" w:sz="4" w:space="0" w:color="D6D0C8"/>
              <w:right w:val="none" w:sz="0" w:space="0" w:color="FFFFFF"/>
            </w:tcBorders>
            <w:tcMar>
              <w:top w:w="90" w:type="dxa"/>
              <w:left w:w="120" w:type="dxa"/>
              <w:bottom w:w="90" w:type="dxa"/>
              <w:right w:w="120" w:type="dxa"/>
            </w:tcMar>
          </w:tcPr>
          <w:p>
            <w:pPr>
              <w:spacing w:line="276" w:lineRule="auto"/>
            </w:pPr>
            <w:r>
              <w:rPr>
                <w:b/>
                <w:bCs/>
                <w:color w:val="1C1A1A"/>
                <w:sz w:val="18"/>
                <w:szCs w:val="18"/>
              </w:rPr>
              <w:t>Month 18</w:t>
            </w:r>
          </w:p>
        </w:tc>
        <w:tc>
          <w:tcPr>
            <w:tcW w:w="7600" w:type="dxa"/>
            <w:tcBorders>
              <w:top w:val="none" w:sz="0" w:space="0" w:color="FFFFFF"/>
              <w:left w:val="none" w:sz="0" w:space="0" w:color="FFFFFF"/>
              <w:bottom w:val="single" w:sz="4" w:space="0" w:color="D6D0C8"/>
              <w:right w:val="none" w:sz="0" w:space="0" w:color="FFFFFF"/>
            </w:tcBorders>
            <w:tcMar>
              <w:top w:w="90" w:type="dxa"/>
              <w:left w:w="120" w:type="dxa"/>
              <w:bottom w:w="90" w:type="dxa"/>
              <w:right w:w="120" w:type="dxa"/>
            </w:tcMar>
          </w:tcPr>
          <w:p>
            <w:pPr>
              <w:spacing w:line="276" w:lineRule="auto"/>
            </w:pPr>
            <w:r>
              <w:rPr>
                <w:sz w:val="18"/>
                <w:szCs w:val="18"/>
              </w:rPr>
              <w:t xml:space="preserve">O ______  ×  J ______  ×  D ______  ×  S ______   =   </w:t>
            </w:r>
            <w:r>
              <w:rPr>
                <w:b/>
                <w:bCs/>
                <w:color w:val="1C1A1A"/>
                <w:sz w:val="18"/>
                <w:szCs w:val="18"/>
              </w:rPr>
              <w:t>________</w:t>
            </w:r>
          </w:p>
        </w:tc>
      </w:tr>
    </w:tbl>
    <w:p>
      <w:pPr>
        <w:spacing w:after="100"/>
      </w:pPr>
    </w:p>
    <w:p>
      <w:pPr>
        <w:spacing w:after="100" w:line="276" w:lineRule="auto"/>
      </w:pPr>
      <w:r>
        <w:t>A single Level 0 anywhere produces zero, whatever sits in the other three. The instrument is making a claim there. These four are conditions, and a decision that cannot respond to the case in front of it fails outright rather than scoring poorly in one column. If you landed on zero, the sheet has done its work already. Write down which dimension produced it, because that one is the whole project and the other three are waiting on it.</w:t>
      </w:r>
    </w:p>
    <w:p>
      <w:pPr>
        <w:spacing w:after="100" w:line="276" w:lineRule="auto"/>
      </w:pPr>
      <w:r>
        <w:t>Competence across the board also produces a number that reads like failure. All four at Level 3 gives 0.13, where an average would have promised 0.6.</w:t>
      </w:r>
    </w:p>
    <w:p>
      <w:pPr>
        <w:keepNext/>
        <w:spacing w:before="260" w:after="100" w:line="276" w:lineRule="auto"/>
      </w:pPr>
      <w:r>
        <w:rPr>
          <w:rFonts w:ascii="Georgia" w:eastAsia="Georgia" w:hAnsi="Georgia" w:cs="Georgia"/>
          <w:color w:val="1C1A1A"/>
          <w:sz w:val="27"/>
          <w:szCs w:val="27"/>
        </w:rPr>
        <w:t>Reading the result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tblPrEx>
          <w:tblCellMar>
            <w:top w:w="0" w:type="dxa"/>
            <w:bottom w:w="0" w:type="dxa"/>
          </w:tblCellMar>
        </w:tblPrEx>
        <w:trPr>
          <w:cantSplit/>
          <w:tblHeader/>
        </w:trPr>
        <w:tc>
          <w:tcPr>
            <w:tcW w:w="23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Result</w:t>
            </w:r>
          </w:p>
        </w:tc>
        <w:tc>
          <w:tcPr>
            <w:tcW w:w="76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Reading</w:t>
            </w:r>
          </w:p>
        </w:tc>
      </w:tr>
      <w:tr>
        <w:tblPrEx>
          <w:tblCellMar>
            <w:top w:w="0" w:type="dxa"/>
            <w:bottom w:w="0" w:type="dxa"/>
          </w:tblCellMar>
        </w:tblPrEx>
        <w:trPr>
          <w:cantSplit/>
        </w:trPr>
        <w:tc>
          <w:tcPr>
            <w:tcW w:w="2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Below 0.10</w:t>
            </w:r>
          </w:p>
        </w:tc>
        <w:tc>
          <w:tcPr>
            <w:tcW w:w="76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sz w:val="18"/>
                <w:szCs w:val="18"/>
              </w:rPr>
              <w:t xml:space="preserve">The Dead Zone. </w:t>
            </w:r>
            <w:r>
              <w:rPr>
                <w:sz w:val="18"/>
                <w:szCs w:val="18"/>
              </w:rPr>
              <w:t>The architecture permits nothing better here. This describes the room and not the person standing in it. Many decisions in many companies land in this band.</w:t>
            </w:r>
          </w:p>
        </w:tc>
      </w:tr>
      <w:tr>
        <w:tblPrEx>
          <w:tblCellMar>
            <w:top w:w="0" w:type="dxa"/>
            <w:bottom w:w="0" w:type="dxa"/>
          </w:tblCellMar>
        </w:tblPrEx>
        <w:trPr>
          <w:cantSplit/>
        </w:trPr>
        <w:tc>
          <w:tcPr>
            <w:tcW w:w="2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0.10 to 0.30</w:t>
            </w:r>
          </w:p>
        </w:tc>
        <w:tc>
          <w:tcPr>
            <w:tcW w:w="76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sz w:val="18"/>
                <w:szCs w:val="18"/>
              </w:rPr>
              <w:t xml:space="preserve">The transition zone. </w:t>
            </w:r>
            <w:r>
              <w:rPr>
                <w:sz w:val="18"/>
                <w:szCs w:val="18"/>
              </w:rPr>
              <w:t>Adequate answers are reachable at a cost nobody has ever counted.</w:t>
            </w:r>
          </w:p>
        </w:tc>
      </w:tr>
      <w:tr>
        <w:tblPrEx>
          <w:tblCellMar>
            <w:top w:w="0" w:type="dxa"/>
            <w:bottom w:w="0" w:type="dxa"/>
          </w:tblCellMar>
        </w:tblPrEx>
        <w:trPr>
          <w:cantSplit/>
        </w:trPr>
        <w:tc>
          <w:tcPr>
            <w:tcW w:w="2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Over 0.30</w:t>
            </w:r>
          </w:p>
        </w:tc>
        <w:tc>
          <w:tcPr>
            <w:tcW w:w="76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Somebody built this deliberately. Find out who, and when. Clearing this takes close to Level 4 in all four at once, which is rare anywhere.</w:t>
            </w:r>
          </w:p>
        </w:tc>
      </w:tr>
    </w:tbl>
    <w:p>
      <w:pPr>
        <w:spacing w:before="60" w:after="100" w:line="276" w:lineRule="auto"/>
      </w:pPr>
      <w:r>
        <w:rPr>
          <w:i/>
          <w:iCs/>
          <w:color w:val="6B6461"/>
          <w:sz w:val="17"/>
          <w:szCs w:val="17"/>
        </w:rPr>
        <w:t>The cut points were chosen, as every threshold in this book was. Move them once your organization has run this often enough to know where it actually breaks.</w:t>
      </w:r>
    </w:p>
    <w:p>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06"/>
      </w:tblGrid>
      <w:tr>
        <w:tblPrEx>
          <w:tblCellMar>
            <w:top w:w="0" w:type="dxa"/>
            <w:bottom w:w="0" w:type="dxa"/>
          </w:tblCellMar>
        </w:tblPrEx>
        <w:trPr>
          <w:cantSplit/>
          <w:trHeight w:val="420"/>
        </w:trPr>
        <w:tc>
          <w:tcPr>
            <w:tcW w:w="30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The dimension that breaks first</w:t>
            </w:r>
          </w:p>
        </w:tc>
        <w:tc>
          <w:tcPr>
            <w:tcW w:w="69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before="60" w:after="200" w:line="276" w:lineRule="auto"/>
      </w:pPr>
      <w:r>
        <w:rPr>
          <w:i/>
          <w:iCs/>
          <w:color w:val="943537"/>
          <w:sz w:val="18"/>
          <w:szCs w:val="18"/>
        </w:rPr>
        <w:t>That is where the program should begin.</w:t>
      </w:r>
    </w:p>
    <w:p>
      <w:pPr>
        <w:spacing w:line="276" w:lineRule="auto"/>
      </w:pPr>
      <w:r>
        <w:rPr>
          <w:b/>
          <w:bCs/>
          <w:color w:val="1C1A1A"/>
          <w:sz w:val="18"/>
          <w:szCs w:val="18"/>
        </w:rPr>
        <w:lastRenderedPageBreak/>
        <w:t>One honest sentence about what surprised you: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blPrEx>
          <w:tblCellMar>
            <w:top w:w="0" w:type="dxa"/>
            <w:bottom w:w="0" w:type="dxa"/>
          </w:tblCellMar>
        </w:tblPrEx>
        <w:trPr>
          <w:cantSplit/>
          <w:trHeight w:val="400"/>
        </w:trPr>
        <w:tc>
          <w:tcPr>
            <w:tcW w:w="9906"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blPrEx>
          <w:tblCellMar>
            <w:top w:w="0" w:type="dxa"/>
            <w:bottom w:w="0" w:type="dxa"/>
          </w:tblCellMar>
        </w:tblPrEx>
        <w:trPr>
          <w:cantSplit/>
          <w:trHeight w:val="400"/>
        </w:trPr>
        <w:tc>
          <w:tcPr>
            <w:tcW w:w="9906"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bl>
    <w:p>
      <w:pPr>
        <w:keepNext/>
        <w:spacing w:before="260" w:after="100" w:line="276" w:lineRule="auto"/>
      </w:pPr>
      <w:r>
        <w:rPr>
          <w:rFonts w:ascii="Georgia" w:eastAsia="Georgia" w:hAnsi="Georgia" w:cs="Georgia"/>
          <w:color w:val="1C1A1A"/>
          <w:sz w:val="27"/>
          <w:szCs w:val="27"/>
        </w:rPr>
        <w:t>Two ways to use the second column</w:t>
      </w:r>
    </w:p>
    <w:p>
      <w:pPr>
        <w:spacing w:after="100" w:line="276" w:lineRule="auto"/>
      </w:pPr>
      <w:r>
        <w:t>Run the sheet twice. The two passes answer different questions and both are worth the fifteen minutes.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single" w:sz="12" w:space="0" w:color="FFFFFF"/>
            </w:tcBorders>
            <w:shd w:val="clear" w:color="auto" w:fill="F5F2EE"/>
            <w:tcMar>
              <w:top w:w="160" w:type="dxa"/>
              <w:left w:w="200" w:type="dxa"/>
              <w:bottom w:w="160" w:type="dxa"/>
              <w:right w:w="200" w:type="dxa"/>
            </w:tcMar>
          </w:tcPr>
          <w:p>
            <w:pPr>
              <w:spacing w:after="60" w:line="276" w:lineRule="auto"/>
            </w:pPr>
            <w:r>
              <w:rPr>
                <w:rFonts w:ascii="Georgia" w:eastAsia="Georgia" w:hAnsi="Georgia" w:cs="Georgia"/>
                <w:color w:val="1C1A1A"/>
                <w:sz w:val="22"/>
                <w:szCs w:val="22"/>
              </w:rPr>
              <w:t>Downward</w:t>
            </w:r>
          </w:p>
          <w:p>
            <w:pPr>
              <w:spacing w:after="80" w:line="276" w:lineRule="auto"/>
            </w:pPr>
            <w:r>
              <w:rPr>
                <w:sz w:val="18"/>
                <w:szCs w:val="18"/>
              </w:rPr>
              <w:t>Give the four questions to someone two levels below you who lives inside this decision. The dimension where your scores diverge most marks where your picture of the operation stopped matching the operation.</w:t>
            </w:r>
          </w:p>
          <w:p>
            <w:pPr>
              <w:spacing w:after="120" w:line="276" w:lineRule="auto"/>
            </w:pPr>
            <w:r>
              <w:rPr>
                <w:i/>
                <w:iCs/>
                <w:color w:val="943537"/>
                <w:sz w:val="18"/>
                <w:szCs w:val="18"/>
              </w:rPr>
              <w:t>Ask them before you explain it to them.</w:t>
            </w:r>
          </w:p>
          <w:p>
            <w:pPr>
              <w:spacing w:line="276" w:lineRule="auto"/>
            </w:pPr>
            <w:r>
              <w:rPr>
                <w:b/>
                <w:bCs/>
                <w:color w:val="1C1A1A"/>
                <w:sz w:val="18"/>
                <w:szCs w:val="18"/>
              </w:rPr>
              <w:t>Largest divergence:</w:t>
            </w:r>
          </w:p>
          <w:tbl>
            <w:tblPr>
              <w:tblW w:w="4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3"/>
            </w:tblGrid>
            <w:tr>
              <w:tblPrEx>
                <w:tblCellMar>
                  <w:top w:w="0" w:type="dxa"/>
                  <w:bottom w:w="0" w:type="dxa"/>
                </w:tblCellMar>
              </w:tblPrEx>
              <w:trPr>
                <w:cantSplit/>
                <w:trHeight w:val="400"/>
              </w:trPr>
              <w:tc>
                <w:tcPr>
                  <w:tcW w:w="4553"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bl>
          <w:p>
            <w:pPr>
              <w:spacing w:before="160" w:line="276" w:lineRule="auto"/>
            </w:pPr>
            <w:r>
              <w:rPr>
                <w:b/>
                <w:bCs/>
                <w:color w:val="1C1A1A"/>
                <w:sz w:val="18"/>
                <w:szCs w:val="18"/>
              </w:rPr>
              <w:t>Their explanation:</w:t>
            </w:r>
          </w:p>
          <w:tbl>
            <w:tblPr>
              <w:tblW w:w="4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3"/>
            </w:tblGrid>
            <w:tr>
              <w:tblPrEx>
                <w:tblCellMar>
                  <w:top w:w="0" w:type="dxa"/>
                  <w:bottom w:w="0" w:type="dxa"/>
                </w:tblCellMar>
              </w:tblPrEx>
              <w:trPr>
                <w:cantSplit/>
                <w:trHeight w:val="400"/>
              </w:trPr>
              <w:tc>
                <w:tcPr>
                  <w:tcW w:w="4553"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blPrEx>
                <w:tblCellMar>
                  <w:top w:w="0" w:type="dxa"/>
                  <w:bottom w:w="0" w:type="dxa"/>
                </w:tblCellMar>
              </w:tblPrEx>
              <w:trPr>
                <w:cantSplit/>
                <w:trHeight w:val="400"/>
              </w:trPr>
              <w:tc>
                <w:tcPr>
                  <w:tcW w:w="4553"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blPrEx>
                <w:tblCellMar>
                  <w:top w:w="0" w:type="dxa"/>
                  <w:bottom w:w="0" w:type="dxa"/>
                </w:tblCellMar>
              </w:tblPrEx>
              <w:trPr>
                <w:cantSplit/>
                <w:trHeight w:val="400"/>
              </w:trPr>
              <w:tc>
                <w:tcPr>
                  <w:tcW w:w="4553"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bl>
          <w:p/>
        </w:tc>
        <w:tc>
          <w:tcPr>
            <w:tcW w:w="4953" w:type="dxa"/>
            <w:tcBorders>
              <w:top w:val="none" w:sz="0" w:space="0" w:color="FFFFFF"/>
              <w:left w:val="none" w:sz="0" w:space="0" w:color="FFFFFF"/>
              <w:bottom w:val="none" w:sz="0" w:space="0" w:color="FFFFFF"/>
              <w:right w:val="single" w:sz="12" w:space="0" w:color="FFFFFF"/>
            </w:tcBorders>
            <w:shd w:val="clear" w:color="auto" w:fill="F5F2EE"/>
            <w:tcMar>
              <w:top w:w="160" w:type="dxa"/>
              <w:left w:w="200" w:type="dxa"/>
              <w:bottom w:w="160" w:type="dxa"/>
              <w:right w:w="200" w:type="dxa"/>
            </w:tcMar>
          </w:tcPr>
          <w:p>
            <w:pPr>
              <w:spacing w:after="60" w:line="276" w:lineRule="auto"/>
            </w:pPr>
            <w:r>
              <w:rPr>
                <w:rFonts w:ascii="Georgia" w:eastAsia="Georgia" w:hAnsi="Georgia" w:cs="Georgia"/>
                <w:color w:val="1C1A1A"/>
                <w:sz w:val="22"/>
                <w:szCs w:val="22"/>
              </w:rPr>
              <w:t>Across</w:t>
            </w:r>
          </w:p>
          <w:p>
            <w:pPr>
              <w:spacing w:after="80" w:line="276" w:lineRule="auto"/>
            </w:pPr>
            <w:r>
              <w:rPr>
                <w:sz w:val="18"/>
                <w:szCs w:val="18"/>
              </w:rPr>
              <w:t>Bring the sheet to your executive team and have each of them score the same decision beforehand. Then spend the hour on the places where the scores differ. That disagreement is the exercise, and it will take the whole hour.</w:t>
            </w:r>
          </w:p>
          <w:p>
            <w:pPr>
              <w:spacing w:before="40" w:line="276" w:lineRule="auto"/>
            </w:pPr>
            <w:r>
              <w:rPr>
                <w:b/>
                <w:bCs/>
                <w:color w:val="1C1A1A"/>
                <w:sz w:val="18"/>
                <w:szCs w:val="18"/>
              </w:rPr>
              <w:t>Where the scores differed most:</w:t>
            </w:r>
          </w:p>
          <w:tbl>
            <w:tblPr>
              <w:tblW w:w="4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3"/>
            </w:tblGrid>
            <w:tr>
              <w:tblPrEx>
                <w:tblCellMar>
                  <w:top w:w="0" w:type="dxa"/>
                  <w:bottom w:w="0" w:type="dxa"/>
                </w:tblCellMar>
              </w:tblPrEx>
              <w:trPr>
                <w:cantSplit/>
                <w:trHeight w:val="400"/>
              </w:trPr>
              <w:tc>
                <w:tcPr>
                  <w:tcW w:w="4553"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blPrEx>
                <w:tblCellMar>
                  <w:top w:w="0" w:type="dxa"/>
                  <w:bottom w:w="0" w:type="dxa"/>
                </w:tblCellMar>
              </w:tblPrEx>
              <w:trPr>
                <w:cantSplit/>
                <w:trHeight w:val="400"/>
              </w:trPr>
              <w:tc>
                <w:tcPr>
                  <w:tcW w:w="4553"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blPrEx>
                <w:tblCellMar>
                  <w:top w:w="0" w:type="dxa"/>
                  <w:bottom w:w="0" w:type="dxa"/>
                </w:tblCellMar>
              </w:tblPrEx>
              <w:trPr>
                <w:cantSplit/>
                <w:trHeight w:val="400"/>
              </w:trPr>
              <w:tc>
                <w:tcPr>
                  <w:tcW w:w="4553"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blPrEx>
                <w:tblCellMar>
                  <w:top w:w="0" w:type="dxa"/>
                  <w:bottom w:w="0" w:type="dxa"/>
                </w:tblCellMar>
              </w:tblPrEx>
              <w:trPr>
                <w:cantSplit/>
                <w:trHeight w:val="400"/>
              </w:trPr>
              <w:tc>
                <w:tcPr>
                  <w:tcW w:w="4553"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bl>
          <w:p/>
        </w:tc>
      </w:tr>
    </w:tbl>
    <w:p/>
    <w:sectPr>
      <w:footerReference w:type="default" r:id="rId7"/>
      <w:pgSz w:w="11906" w:h="16838"/>
      <w:pgMar w:top="900" w:right="1000" w:bottom="900" w:left="1000" w:header="708"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Bdr>
        <w:top w:val="single" w:sz="4" w:space="6" w:color="D6D0C8"/>
      </w:pBdr>
    </w:pPr>
    <w:r>
      <w:rPr>
        <w:color w:val="6B6461"/>
        <w:sz w:val="15"/>
        <w:szCs w:val="15"/>
      </w:rPr>
      <w:t xml:space="preserve">From </w:t>
    </w:r>
    <w:r>
      <w:rPr>
        <w:i/>
        <w:iCs/>
        <w:color w:val="6B6461"/>
        <w:sz w:val="15"/>
        <w:szCs w:val="15"/>
      </w:rPr>
      <w:t>Confidently Wrong</w:t>
    </w:r>
    <w:r>
      <w:rPr>
        <w:color w:val="6B6461"/>
        <w:sz w:val="15"/>
        <w:szCs w:val="15"/>
      </w:rPr>
      <w:t xml:space="preserve">  ·  theconfidentlywrong.com  ·  Free to use inside your organization</w:t>
    </w:r>
    <w:r>
      <w:rPr>
        <w:color w:val="6B6461"/>
        <w:sz w:val="15"/>
        <w:szCs w:val="15"/>
      </w:rPr>
      <w:ptab w:relativeTo="margin" w:alignment="right" w:leader="none"/>
    </w:r>
    <w:r>
      <w:rPr>
        <w:color w:val="6B6461"/>
        <w:sz w:val="15"/>
        <w:szCs w:val="15"/>
      </w:rPr>
      <w:fldChar w:fldCharType="begin"/>
    </w:r>
    <w:r>
      <w:rPr>
        <w:color w:val="6B6461"/>
        <w:sz w:val="15"/>
        <w:szCs w:val="15"/>
      </w:rPr>
      <w:instrText>PAGE</w:instrText>
    </w:r>
    <w:r>
      <w:rPr>
        <w:color w:val="6B6461"/>
        <w:sz w:val="15"/>
        <w:szCs w:val="15"/>
      </w:rPr>
      <w:fldChar w:fldCharType="separate"/>
    </w:r>
    <w:r>
      <w:rPr>
        <w:noProof/>
        <w:color w:val="6B6461"/>
        <w:sz w:val="15"/>
        <w:szCs w:val="15"/>
      </w:rPr>
      <w:t>1</w:t>
    </w:r>
    <w:r>
      <w:rPr>
        <w:color w:val="6B646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7C0CFD"/>
    <w:multiLevelType w:val="hybridMultilevel"/>
    <w:tmpl w:val="D01A1540"/>
    <w:lvl w:ilvl="0" w:tplc="85A2074C">
      <w:start w:val="1"/>
      <w:numFmt w:val="bullet"/>
      <w:lvlText w:val="●"/>
      <w:lvlJc w:val="left"/>
      <w:pPr>
        <w:ind w:left="720" w:hanging="360"/>
      </w:pPr>
    </w:lvl>
    <w:lvl w:ilvl="1" w:tplc="4016DA5C">
      <w:start w:val="1"/>
      <w:numFmt w:val="bullet"/>
      <w:lvlText w:val="○"/>
      <w:lvlJc w:val="left"/>
      <w:pPr>
        <w:ind w:left="1440" w:hanging="360"/>
      </w:pPr>
    </w:lvl>
    <w:lvl w:ilvl="2" w:tplc="9F2CE3EA">
      <w:start w:val="1"/>
      <w:numFmt w:val="bullet"/>
      <w:lvlText w:val="■"/>
      <w:lvlJc w:val="left"/>
      <w:pPr>
        <w:ind w:left="2160" w:hanging="360"/>
      </w:pPr>
    </w:lvl>
    <w:lvl w:ilvl="3" w:tplc="29F046D4">
      <w:start w:val="1"/>
      <w:numFmt w:val="bullet"/>
      <w:lvlText w:val="●"/>
      <w:lvlJc w:val="left"/>
      <w:pPr>
        <w:ind w:left="2880" w:hanging="360"/>
      </w:pPr>
    </w:lvl>
    <w:lvl w:ilvl="4" w:tplc="8564C91A">
      <w:start w:val="1"/>
      <w:numFmt w:val="bullet"/>
      <w:lvlText w:val="○"/>
      <w:lvlJc w:val="left"/>
      <w:pPr>
        <w:ind w:left="3600" w:hanging="360"/>
      </w:pPr>
    </w:lvl>
    <w:lvl w:ilvl="5" w:tplc="96F26CDC">
      <w:start w:val="1"/>
      <w:numFmt w:val="bullet"/>
      <w:lvlText w:val="■"/>
      <w:lvlJc w:val="left"/>
      <w:pPr>
        <w:ind w:left="4320" w:hanging="360"/>
      </w:pPr>
    </w:lvl>
    <w:lvl w:ilvl="6" w:tplc="C2444B94">
      <w:start w:val="1"/>
      <w:numFmt w:val="bullet"/>
      <w:lvlText w:val="●"/>
      <w:lvlJc w:val="left"/>
      <w:pPr>
        <w:ind w:left="5040" w:hanging="360"/>
      </w:pPr>
    </w:lvl>
    <w:lvl w:ilvl="7" w:tplc="C6D43F7C">
      <w:start w:val="1"/>
      <w:numFmt w:val="bullet"/>
      <w:lvlText w:val="●"/>
      <w:lvlJc w:val="left"/>
      <w:pPr>
        <w:ind w:left="5760" w:hanging="360"/>
      </w:pPr>
    </w:lvl>
    <w:lvl w:ilvl="8" w:tplc="FDD0A624">
      <w:start w:val="1"/>
      <w:numFmt w:val="bullet"/>
      <w:lvlText w:val="●"/>
      <w:lvlJc w:val="left"/>
      <w:pPr>
        <w:ind w:left="6480" w:hanging="360"/>
      </w:pPr>
    </w:lvl>
  </w:abstractNum>
  <w:num w:numId="1" w16cid:durableId="2399938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PersonalInformation/>
  <w:removeDateAndTime/>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E2B2B"/>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955</Words>
  <Characters>4606</Characters>
  <Application>Microsoft Office Word</Application>
  <DocSecurity>0</DocSecurity>
  <Lines>184</Lines>
  <Paragraphs>104</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2026-01-01T00:00:00Z</dcterms:created>
  <dcterms:modified xsi:type="dcterms:W3CDTF">2026-01-01T00:00:00Z</dcterms:modified>
</cp:coreProperties>
</file>