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60" w:line="276" w:lineRule="auto"/>
      </w:pPr>
      <w:r>
        <w:rPr>
          <w:b/>
          <w:bCs/>
          <w:color w:val="943537"/>
          <w:spacing w:val="40"/>
          <w:sz w:val="15"/>
          <w:szCs w:val="15"/>
        </w:rPr>
        <w:t>CONFIDENTLY WRONG  ·  INSTRUMENT 2 OF 4</w:t>
      </w:r>
    </w:p>
    <w:p>
      <w:pPr>
        <w:spacing w:before="60" w:after="80" w:line="320" w:lineRule="auto"/>
      </w:pPr>
      <w:r>
        <w:rPr>
          <w:rFonts w:ascii="Georgia" w:eastAsia="Georgia" w:hAnsi="Georgia" w:cs="Georgia"/>
          <w:color w:val="1C1A1A"/>
          <w:sz w:val="40"/>
          <w:szCs w:val="40"/>
        </w:rPr>
        <w:t>The Stakeholder Interview</w:t>
      </w:r>
    </w:p>
    <w:p>
      <w:pPr>
        <w:pBdr>
          <w:bottom w:val="single" w:sz="12" w:space="8" w:color="943537"/>
        </w:pBdr>
        <w:spacing w:after="140" w:line="276" w:lineRule="auto"/>
      </w:pPr>
      <w:r>
        <w:rPr>
          <w:rFonts w:ascii="Georgia" w:eastAsia="Georgia" w:hAnsi="Georgia" w:cs="Georgia"/>
          <w:i/>
          <w:iCs/>
          <w:sz w:val="22"/>
          <w:szCs w:val="22"/>
        </w:rPr>
        <w:t>This sheet produces one map of one person. Ten of them produce the month.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single" w:sz="4" w:space="0" w:color="FFFFFF"/>
            </w:tcBorders>
            <w:shd w:val="clear" w:color="auto" w:fill="F5F2EE"/>
            <w:tcMar>
              <w:top w:w="90" w:type="dxa"/>
              <w:left w:w="120" w:type="dxa"/>
              <w:bottom w:w="90" w:type="dxa"/>
              <w:right w:w="120" w:type="dxa"/>
            </w:tcMar>
          </w:tcPr>
          <w:p>
            <w:pPr>
              <w:spacing w:after="20" w:line="276" w:lineRule="auto"/>
            </w:pPr>
            <w:r>
              <w:rPr>
                <w:b/>
                <w:bCs/>
                <w:color w:val="943537"/>
                <w:spacing w:val="30"/>
                <w:sz w:val="14"/>
                <w:szCs w:val="14"/>
              </w:rPr>
              <w:t>WHEN</w:t>
            </w:r>
          </w:p>
          <w:p>
            <w:pPr>
              <w:spacing w:line="276" w:lineRule="auto"/>
            </w:pPr>
            <w:r>
              <w:rPr>
                <w:color w:val="1C1A1A"/>
                <w:sz w:val="18"/>
                <w:szCs w:val="18"/>
              </w:rPr>
              <w:t>Month one</w:t>
            </w:r>
          </w:p>
        </w:tc>
        <w:tc>
          <w:tcPr>
            <w:tcW w:w="4953" w:type="dxa"/>
            <w:tcBorders>
              <w:top w:val="none" w:sz="0" w:space="0" w:color="FFFFFF"/>
              <w:left w:val="none" w:sz="0" w:space="0" w:color="FFFFFF"/>
              <w:bottom w:val="none" w:sz="0" w:space="0" w:color="FFFFFF"/>
              <w:right w:val="none" w:sz="0" w:space="0" w:color="FFFFFF"/>
            </w:tcBorders>
            <w:shd w:val="clear" w:color="auto" w:fill="F5F2EE"/>
            <w:tcMar>
              <w:top w:w="90" w:type="dxa"/>
              <w:left w:w="120" w:type="dxa"/>
              <w:bottom w:w="90" w:type="dxa"/>
              <w:right w:w="120" w:type="dxa"/>
            </w:tcMar>
          </w:tcPr>
          <w:p>
            <w:pPr>
              <w:spacing w:after="20" w:line="276" w:lineRule="auto"/>
            </w:pPr>
            <w:r>
              <w:rPr>
                <w:b/>
                <w:bCs/>
                <w:color w:val="943537"/>
                <w:spacing w:val="30"/>
                <w:sz w:val="14"/>
                <w:szCs w:val="14"/>
              </w:rPr>
              <w:t>WHAT IT HANDS ON</w:t>
            </w:r>
          </w:p>
          <w:p>
            <w:pPr>
              <w:spacing w:line="276" w:lineRule="auto"/>
            </w:pPr>
            <w:r>
              <w:rPr>
                <w:color w:val="1C1A1A"/>
                <w:sz w:val="18"/>
                <w:szCs w:val="18"/>
              </w:rPr>
              <w:t>Maps and tests, the ground for the operating contract</w:t>
            </w:r>
          </w:p>
        </w:tc>
      </w:tr>
    </w:tbl>
    <w:p>
      <w:pPr>
        <w:spacing w:after="160"/>
      </w:pPr>
    </w:p>
    <w:p>
      <w:pPr>
        <w:spacing w:after="100" w:line="276" w:lineRule="auto"/>
      </w:pPr>
      <w:r>
        <w:t>The executive accountable for the outcome runs every one personally. A proxy gets the stated position and nothing beneath it.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300"/>
        <w:gridCol w:w="550"/>
        <w:gridCol w:w="2200"/>
        <w:gridCol w:w="600"/>
        <w:gridCol w:w="2106"/>
      </w:tblGrid>
      <w:tr>
        <w:tblPrEx>
          <w:tblCellMar>
            <w:top w:w="0" w:type="dxa"/>
            <w:bottom w:w="0" w:type="dxa"/>
          </w:tblCellMar>
        </w:tblPrEx>
        <w:trPr>
          <w:cantSplit/>
          <w:trHeight w:val="420"/>
        </w:trPr>
        <w:tc>
          <w:tcPr>
            <w:tcW w:w="115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Interviewee</w:t>
            </w:r>
          </w:p>
        </w:tc>
        <w:tc>
          <w:tcPr>
            <w:tcW w:w="33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55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Role</w:t>
            </w:r>
          </w:p>
        </w:tc>
        <w:tc>
          <w:tcPr>
            <w:tcW w:w="22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c>
          <w:tcPr>
            <w:tcW w:w="6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Date</w:t>
            </w:r>
          </w:p>
        </w:tc>
        <w:tc>
          <w:tcPr>
            <w:tcW w:w="2106"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after="60"/>
      </w:pP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tblGrid>
      <w:tr>
        <w:tblPrEx>
          <w:tblCellMar>
            <w:top w:w="0" w:type="dxa"/>
            <w:bottom w:w="0" w:type="dxa"/>
          </w:tblCellMar>
        </w:tblPrEx>
        <w:trPr>
          <w:cantSplit/>
          <w:trHeight w:val="420"/>
        </w:trPr>
        <w:tc>
          <w:tcPr>
            <w:tcW w:w="20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Center or periphery</w:t>
            </w:r>
          </w:p>
        </w:tc>
        <w:tc>
          <w:tcPr>
            <w:tcW w:w="27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before="60" w:after="100" w:line="276" w:lineRule="auto"/>
      </w:pPr>
      <w:r>
        <w:rPr>
          <w:i/>
          <w:iCs/>
          <w:color w:val="6B6461"/>
          <w:sz w:val="17"/>
          <w:szCs w:val="17"/>
        </w:rPr>
        <w:t>At least two of the ten sit near the edge, close to customers, operations, suppliers, or a technical constraint that is starting to bite.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blPrEx>
          <w:tblCellMar>
            <w:top w:w="0" w:type="dxa"/>
            <w:bottom w:w="0" w:type="dxa"/>
          </w:tblCellMar>
        </w:tblPrEx>
        <w:trPr>
          <w:cantSplit/>
        </w:trPr>
        <w:tc>
          <w:tcPr>
            <w:tcW w:w="9906" w:type="dxa"/>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line="276" w:lineRule="auto"/>
            </w:pPr>
            <w:r>
              <w:t>Forty-five minutes. Two people in a room. No laptop, no phone, no HR partner in the corner. Handwriting matters here. A screen between two people changes what gets said, and a person watching their words go into a system is answering a different question from the one you asked.</w:t>
            </w:r>
          </w:p>
        </w:tc>
      </w:tr>
    </w:tbl>
    <w:p>
      <w:pPr>
        <w:keepNext/>
        <w:spacing w:before="260" w:after="100" w:line="276" w:lineRule="auto"/>
      </w:pPr>
      <w:r>
        <w:rPr>
          <w:rFonts w:ascii="Georgia" w:eastAsia="Georgia" w:hAnsi="Georgia" w:cs="Georgia"/>
          <w:color w:val="1C1A1A"/>
          <w:sz w:val="27"/>
          <w:szCs w:val="27"/>
        </w:rPr>
        <w:t>Before you start: where this paper goes</w:t>
      </w:r>
    </w:p>
    <w:p>
      <w:pPr>
        <w:spacing w:after="100" w:line="276" w:lineRule="auto"/>
      </w:pPr>
      <w:r>
        <w:t>Decide this before the first interview, because the next section commits you to it out loud.</w:t>
      </w:r>
    </w:p>
    <w:p>
      <w:pPr>
        <w:spacing w:after="100" w:line="276" w:lineRule="auto"/>
      </w:pPr>
      <w:r>
        <w:t>Your handwritten notes from the hour are working material. They get destroyed once the map is written and confirmed, within the week. What survives is the confirmed map, held in one place, readable by you and by the person it describes. No copies, no shared drive, nothing that reaches a personnel file. Set a destruction date for the whole set when the program closes, and have somebody other than you confirm it happened.</w:t>
      </w:r>
    </w:p>
    <w:p>
      <w:pPr>
        <w:keepNext/>
        <w:spacing w:before="260" w:after="100" w:line="276" w:lineRule="auto"/>
      </w:pPr>
      <w:r>
        <w:rPr>
          <w:rFonts w:ascii="Georgia" w:eastAsia="Georgia" w:hAnsi="Georgia" w:cs="Georgia"/>
          <w:color w:val="1C1A1A"/>
          <w:sz w:val="27"/>
          <w:szCs w:val="27"/>
        </w:rPr>
        <w:t>Say this at the top of the hour</w:t>
      </w:r>
    </w:p>
    <w:p>
      <w:pPr>
        <w:spacing w:after="100" w:line="276" w:lineRule="auto"/>
      </w:pPr>
      <w:r>
        <w:rPr>
          <w:b/>
          <w:bCs/>
          <w:color w:val="1C1A1A"/>
        </w:rPr>
        <w:t>Read it out rather than paraphrasing it.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blPrEx>
          <w:tblCellMar>
            <w:top w:w="0" w:type="dxa"/>
            <w:bottom w:w="0" w:type="dxa"/>
          </w:tblCellMar>
        </w:tblPrEx>
        <w:trPr>
          <w:cantSplit/>
        </w:trPr>
        <w:tc>
          <w:tcPr>
            <w:tcW w:w="9906" w:type="dxa"/>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line="300" w:lineRule="auto"/>
            </w:pPr>
            <w:r>
              <w:rPr>
                <w:rFonts w:ascii="Georgia" w:eastAsia="Georgia" w:hAnsi="Georgia" w:cs="Georgia"/>
                <w:i/>
                <w:iCs/>
                <w:color w:val="1C1A1A"/>
                <w:sz w:val="21"/>
                <w:szCs w:val="21"/>
              </w:rPr>
              <w:t>“Nothing from this hour reaches your performance review. My notes get destroyed once I have written the map. You see the map before anyone else does, and you can strike any line of it. Patterns that appear across several of these conversations will be used, without names, to rehearse how the rollout might land. What comes out of these conversations shapes where the override boundaries around your own work get drawn. You can also decline this interview, now or halfway through.”</w:t>
            </w:r>
          </w:p>
        </w:tc>
      </w:tr>
    </w:tbl>
    <w:p>
      <w:pPr>
        <w:spacing w:before="100" w:after="100" w:line="276" w:lineRule="auto"/>
      </w:pPr>
      <w:r>
        <w:t>Then hold all of it, including the part about striking lines, the first time somebody tests you.</w:t>
      </w:r>
    </w:p>
    <w:p>
      <w:pPr>
        <w:keepNext/>
        <w:spacing w:before="260" w:after="100" w:line="276" w:lineRule="auto"/>
      </w:pPr>
      <w:r>
        <w:rPr>
          <w:rFonts w:ascii="Georgia" w:eastAsia="Georgia" w:hAnsi="Georgia" w:cs="Georgia"/>
          <w:color w:val="1C1A1A"/>
          <w:sz w:val="27"/>
          <w:szCs w:val="27"/>
        </w:rPr>
        <w:t>The sequence</w:t>
      </w:r>
    </w:p>
    <w:p>
      <w:pPr>
        <w:spacing w:after="100" w:line="276" w:lineRule="auto"/>
      </w:pPr>
      <w:r>
        <w:t>Around forty-five minutes. The order does the work and the timings are approximate.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406"/>
        <w:gridCol w:w="3000"/>
      </w:tblGrid>
      <w:tr>
        <w:tblPrEx>
          <w:tblCellMar>
            <w:top w:w="0" w:type="dxa"/>
            <w:bottom w:w="0" w:type="dxa"/>
          </w:tblCellMar>
        </w:tblPrEx>
        <w:trPr>
          <w:cantSplit/>
          <w:tblHeader/>
        </w:trPr>
        <w:tc>
          <w:tcPr>
            <w:tcW w:w="15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Step</w:t>
            </w:r>
          </w:p>
        </w:tc>
        <w:tc>
          <w:tcPr>
            <w:tcW w:w="54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Prompt and discipline</w:t>
            </w:r>
          </w:p>
        </w:tc>
        <w:tc>
          <w:tcPr>
            <w:tcW w:w="30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Notes</w:t>
            </w: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Opening</w:t>
            </w:r>
          </w:p>
        </w:tc>
        <w:tc>
          <w:tcPr>
            <w:tcW w:w="54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after="60" w:line="276" w:lineRule="auto"/>
            </w:pPr>
            <w:r>
              <w:rPr>
                <w:i/>
                <w:iCs/>
                <w:color w:val="1C1A1A"/>
                <w:sz w:val="18"/>
                <w:szCs w:val="18"/>
              </w:rPr>
              <w:t>“What do you make of this?”</w:t>
            </w:r>
          </w:p>
          <w:p>
            <w:pPr>
              <w:spacing w:line="276" w:lineRule="auto"/>
            </w:pPr>
            <w:r>
              <w:rPr>
                <w:sz w:val="17"/>
                <w:szCs w:val="17"/>
              </w:rPr>
              <w:t>The answer will be close to what they think you want, which is why it goes first. Everything afterward gets measured against it.</w:t>
            </w:r>
          </w:p>
        </w:tc>
        <w:tc>
          <w:tcPr>
            <w:tcW w:w="3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lastRenderedPageBreak/>
              <w:t>Behavior</w:t>
            </w:r>
          </w:p>
        </w:tc>
        <w:tc>
          <w:tcPr>
            <w:tcW w:w="54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after="60" w:line="276" w:lineRule="auto"/>
            </w:pPr>
            <w:r>
              <w:rPr>
                <w:i/>
                <w:iCs/>
                <w:color w:val="1C1A1A"/>
                <w:sz w:val="18"/>
                <w:szCs w:val="18"/>
              </w:rPr>
              <w:t>“What have you actually done since you heard about it, and how has it reached your team’s work?”</w:t>
            </w:r>
          </w:p>
          <w:p>
            <w:pPr>
              <w:spacing w:line="276" w:lineRule="auto"/>
            </w:pPr>
            <w:r>
              <w:rPr>
                <w:sz w:val="17"/>
                <w:szCs w:val="17"/>
              </w:rPr>
              <w:t>Whatever sits between this answer and the last one is your first real data. Write it down and leave it alone. Pressing here ends the interview while the clock keeps running.</w:t>
            </w:r>
          </w:p>
        </w:tc>
        <w:tc>
          <w:tcPr>
            <w:tcW w:w="3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Exposure</w:t>
            </w:r>
          </w:p>
        </w:tc>
        <w:tc>
          <w:tcPr>
            <w:tcW w:w="54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after="60" w:line="276" w:lineRule="auto"/>
            </w:pPr>
            <w:r>
              <w:rPr>
                <w:i/>
                <w:iCs/>
                <w:color w:val="1C1A1A"/>
                <w:sz w:val="18"/>
                <w:szCs w:val="18"/>
              </w:rPr>
              <w:t>“What would this change for you? Your work, your authority, your expertise, your standing with the people whose opinion you care about. What would you do differently, and what might you lose?”</w:t>
            </w:r>
          </w:p>
          <w:p>
            <w:pPr>
              <w:spacing w:line="276" w:lineRule="auto"/>
            </w:pPr>
            <w:r>
              <w:rPr>
                <w:sz w:val="17"/>
                <w:szCs w:val="17"/>
              </w:rPr>
              <w:t>Record the words. Note where the pauses fall and where the emphasis shifts.</w:t>
            </w:r>
          </w:p>
        </w:tc>
        <w:tc>
          <w:tcPr>
            <w:tcW w:w="3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assumption</w:t>
            </w:r>
          </w:p>
        </w:tc>
        <w:tc>
          <w:tcPr>
            <w:tcW w:w="54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after="60" w:line="276" w:lineRule="auto"/>
            </w:pPr>
            <w:r>
              <w:rPr>
                <w:i/>
                <w:iCs/>
                <w:color w:val="1C1A1A"/>
                <w:sz w:val="18"/>
                <w:szCs w:val="18"/>
              </w:rPr>
              <w:t>“You said you would stop doing that. What would it mean for how you are seen here? What do you assume management would conclude?”</w:t>
            </w:r>
          </w:p>
          <w:p>
            <w:pPr>
              <w:spacing w:line="276" w:lineRule="auto"/>
            </w:pPr>
            <w:r>
              <w:rPr>
                <w:sz w:val="17"/>
                <w:szCs w:val="17"/>
              </w:rPr>
              <w:t>This rarely lands clean. They will get near it and pull back, and the place they pull back from is the assumption.</w:t>
            </w:r>
          </w:p>
        </w:tc>
        <w:tc>
          <w:tcPr>
            <w:tcW w:w="3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Pr>
        <w:tc>
          <w:tcPr>
            <w:tcW w:w="15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Closing</w:t>
            </w:r>
          </w:p>
        </w:tc>
        <w:tc>
          <w:tcPr>
            <w:tcW w:w="5406"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sz w:val="18"/>
                <w:szCs w:val="18"/>
              </w:rPr>
              <w:t>Stop writing and thank them. Summarize nothing, challenge nothing. The hour builds a map and has no business negotiating one.</w:t>
            </w:r>
          </w:p>
        </w:tc>
        <w:tc>
          <w:tcPr>
            <w:tcW w:w="300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bl>
    <w:p>
      <w:pPr>
        <w:keepNext/>
        <w:spacing w:before="260" w:after="100" w:line="276" w:lineRule="auto"/>
      </w:pPr>
      <w:r>
        <w:rPr>
          <w:rFonts w:ascii="Georgia" w:eastAsia="Georgia" w:hAnsi="Georgia" w:cs="Georgia"/>
          <w:color w:val="1C1A1A"/>
          <w:sz w:val="27"/>
          <w:szCs w:val="27"/>
        </w:rPr>
        <w:t>The map</w:t>
      </w:r>
    </w:p>
    <w:p>
      <w:pPr>
        <w:spacing w:after="100" w:line="276" w:lineRule="auto"/>
      </w:pPr>
      <w:r>
        <w:t>Fifteen minutes alone with paper, immediately after. Their exact words in every box, unsmoothed.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06"/>
      </w:tblGrid>
      <w:tr>
        <w:tblPrEx>
          <w:tblCellMar>
            <w:top w:w="0" w:type="dxa"/>
            <w:bottom w:w="0" w:type="dxa"/>
          </w:tblCellMar>
        </w:tblPrEx>
        <w:trPr>
          <w:cantSplit/>
          <w:tblHeader/>
        </w:trPr>
        <w:tc>
          <w:tcPr>
            <w:tcW w:w="33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p>
        </w:tc>
        <w:tc>
          <w:tcPr>
            <w:tcW w:w="66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Their words</w:t>
            </w:r>
          </w:p>
        </w:tc>
      </w:tr>
      <w:tr>
        <w:tblPrEx>
          <w:tblCellMar>
            <w:top w:w="0" w:type="dxa"/>
            <w:bottom w:w="0" w:type="dxa"/>
          </w:tblCellMar>
        </w:tblPrEx>
        <w:trPr>
          <w:cantSplit/>
          <w:trHeight w:val="110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stated goal (improvement goal)</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110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behavior working against it (doing or not doing instead)</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110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that behavior protects (competing commitment)</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110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assumption holding it in place (big assumption)</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bl>
    <w:p>
      <w:pPr>
        <w:keepNext/>
        <w:spacing w:before="260" w:after="100" w:line="276" w:lineRule="auto"/>
      </w:pPr>
      <w:r>
        <w:rPr>
          <w:rFonts w:ascii="Georgia" w:eastAsia="Georgia" w:hAnsi="Georgia" w:cs="Georgia"/>
          <w:color w:val="1C1A1A"/>
          <w:sz w:val="27"/>
          <w:szCs w:val="27"/>
        </w:rPr>
        <w:t>The second conversation</w:t>
      </w:r>
    </w:p>
    <w:p>
      <w:pPr>
        <w:spacing w:after="100" w:line="276" w:lineRule="auto"/>
      </w:pPr>
      <w:r>
        <w:t>Write the assumption in their language, label it plainly as your inference, and carry it back.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tblPrEx>
          <w:tblCellMar>
            <w:top w:w="0" w:type="dxa"/>
            <w:bottom w:w="0" w:type="dxa"/>
          </w:tblCellMar>
        </w:tblPrEx>
        <w:trPr>
          <w:cantSplit/>
        </w:trPr>
        <w:tc>
          <w:tcPr>
            <w:tcW w:w="9906" w:type="dxa"/>
            <w:tcBorders>
              <w:top w:val="none" w:sz="0" w:space="0" w:color="FFFFFF"/>
              <w:left w:val="single" w:sz="24" w:space="0" w:color="943537"/>
              <w:bottom w:val="none" w:sz="0" w:space="0" w:color="FFFFFF"/>
              <w:right w:val="none" w:sz="0" w:space="0" w:color="FFFFFF"/>
            </w:tcBorders>
            <w:shd w:val="clear" w:color="auto" w:fill="F5F2EE"/>
            <w:tcMar>
              <w:top w:w="140" w:type="dxa"/>
              <w:left w:w="220" w:type="dxa"/>
              <w:bottom w:w="120" w:type="dxa"/>
              <w:right w:w="220" w:type="dxa"/>
            </w:tcMar>
          </w:tcPr>
          <w:p>
            <w:pPr>
              <w:spacing w:after="40" w:line="276" w:lineRule="auto"/>
            </w:pPr>
            <w:r>
              <w:rPr>
                <w:i/>
                <w:iCs/>
                <w:color w:val="1C1A1A"/>
              </w:rPr>
              <w:t>Does this describe what you were worried would happen?</w:t>
            </w:r>
          </w:p>
          <w:p>
            <w:pPr>
              <w:spacing w:after="40" w:line="276" w:lineRule="auto"/>
            </w:pPr>
            <w:r>
              <w:rPr>
                <w:i/>
                <w:iCs/>
                <w:color w:val="1C1A1A"/>
              </w:rPr>
              <w:t>What does it get wrong?</w:t>
            </w:r>
          </w:p>
          <w:p>
            <w:pPr>
              <w:spacing w:line="276" w:lineRule="auto"/>
            </w:pPr>
            <w:r>
              <w:rPr>
                <w:i/>
                <w:iCs/>
                <w:color w:val="1C1A1A"/>
              </w:rPr>
              <w:t>What else would explain the same behavior?</w:t>
            </w:r>
          </w:p>
        </w:tc>
      </w:tr>
    </w:tbl>
    <w:p>
      <w:pPr>
        <w:spacing w:before="100" w:after="100" w:line="276" w:lineRule="auto"/>
      </w:pPr>
      <w:r>
        <w:t>The map stays a guess until they find themselves in it and a test supports it.</w:t>
      </w:r>
    </w:p>
    <w:p>
      <w:pPr>
        <w:keepNext/>
        <w:spacing w:before="260" w:after="100" w:line="276" w:lineRule="auto"/>
      </w:pPr>
      <w:r>
        <w:rPr>
          <w:rFonts w:ascii="Georgia" w:eastAsia="Georgia" w:hAnsi="Georgia" w:cs="Georgia"/>
          <w:color w:val="1C1A1A"/>
          <w:sz w:val="27"/>
          <w:szCs w:val="27"/>
        </w:rPr>
        <w:lastRenderedPageBreak/>
        <w:t>If something factual came up</w:t>
      </w:r>
    </w:p>
    <w:p>
      <w:pPr>
        <w:spacing w:after="100" w:line="276" w:lineRule="auto"/>
      </w:pPr>
      <w:r>
        <w:rPr>
          <w:b/>
          <w:bCs/>
          <w:color w:val="1C1A1A"/>
        </w:rPr>
        <w:t>Knowledge travels on different paper from fear.</w:t>
      </w:r>
    </w:p>
    <w:p>
      <w:pPr>
        <w:spacing w:after="100" w:line="276" w:lineRule="auto"/>
      </w:pPr>
      <w:r>
        <w:t>When somebody tells you the system will break on a case it cannot see, that goes to the deliberation council on its own form, with the evidence attached, a date for a response, and a record of whether it was tested, deferred or rejected and on what grounds. It arrives without the four columns and without the person’s map.</w:t>
      </w:r>
    </w:p>
    <w:p>
      <w:r>
        <w:br w:type="page"/>
      </w:r>
    </w:p>
    <w:p>
      <w:pPr>
        <w:spacing w:after="60" w:line="276" w:lineRule="auto"/>
      </w:pPr>
      <w:r>
        <w:rPr>
          <w:b/>
          <w:bCs/>
          <w:color w:val="943537"/>
          <w:spacing w:val="40"/>
          <w:sz w:val="15"/>
          <w:szCs w:val="15"/>
        </w:rPr>
        <w:lastRenderedPageBreak/>
        <w:t>CONFIDENTLY WRONG  ·  INSTRUMENT 2A</w:t>
      </w:r>
    </w:p>
    <w:p>
      <w:pPr>
        <w:spacing w:before="60" w:after="80" w:line="320" w:lineRule="auto"/>
      </w:pPr>
      <w:r>
        <w:rPr>
          <w:rFonts w:ascii="Georgia" w:eastAsia="Georgia" w:hAnsi="Georgia" w:cs="Georgia"/>
          <w:color w:val="1C1A1A"/>
          <w:sz w:val="40"/>
          <w:szCs w:val="40"/>
        </w:rPr>
        <w:t>The Test</w:t>
      </w:r>
    </w:p>
    <w:p>
      <w:pPr>
        <w:pBdr>
          <w:bottom w:val="single" w:sz="12" w:space="8" w:color="943537"/>
        </w:pBdr>
        <w:spacing w:after="140" w:line="276" w:lineRule="auto"/>
      </w:pPr>
      <w:r>
        <w:rPr>
          <w:rFonts w:ascii="Georgia" w:eastAsia="Georgia" w:hAnsi="Georgia" w:cs="Georgia"/>
          <w:i/>
          <w:iCs/>
          <w:sz w:val="22"/>
          <w:szCs w:val="22"/>
        </w:rPr>
        <w:t>A separate sheet, because the top half gets written before and the bottom half weeks later. Keep them on one page and people adjust the expectation once they have seen the result.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06"/>
      </w:tblGrid>
      <w:tr>
        <w:tblPrEx>
          <w:tblCellMar>
            <w:top w:w="0" w:type="dxa"/>
            <w:bottom w:w="0" w:type="dxa"/>
          </w:tblCellMar>
        </w:tblPrEx>
        <w:trPr>
          <w:cantSplit/>
          <w:tblHeader/>
        </w:trPr>
        <w:tc>
          <w:tcPr>
            <w:tcW w:w="33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Before the test runs</w:t>
            </w:r>
          </w:p>
        </w:tc>
        <w:tc>
          <w:tcPr>
            <w:tcW w:w="66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Designed with the person, never on their behalf</w:t>
            </w:r>
          </w:p>
        </w:tc>
      </w:tr>
      <w:tr>
        <w:tblPrEx>
          <w:tblCellMar>
            <w:top w:w="0" w:type="dxa"/>
            <w:bottom w:w="0" w:type="dxa"/>
          </w:tblCellMar>
        </w:tblPrEx>
        <w:trPr>
          <w:cantSplit/>
          <w:trHeight w:val="76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assumption being tested</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76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A near-term action that departs from what the assumption demands</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76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data to be observed</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76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would support it</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76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would qualify it</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76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would challenge it</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bl>
    <w:p>
      <w:pPr>
        <w:spacing w:after="10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tblGrid>
      <w:tr>
        <w:tblPrEx>
          <w:tblCellMar>
            <w:top w:w="0" w:type="dxa"/>
            <w:bottom w:w="0" w:type="dxa"/>
          </w:tblCellMar>
        </w:tblPrEx>
        <w:trPr>
          <w:cantSplit/>
          <w:trHeight w:val="420"/>
        </w:trPr>
        <w:tc>
          <w:tcPr>
            <w:tcW w:w="2500" w:type="dxa"/>
            <w:tcBorders>
              <w:top w:val="none" w:sz="0" w:space="0" w:color="FFFFFF"/>
              <w:left w:val="none" w:sz="0" w:space="0" w:color="FFFFFF"/>
              <w:bottom w:val="none" w:sz="0" w:space="0" w:color="FFFFFF"/>
              <w:right w:val="none" w:sz="0" w:space="0" w:color="FFFFFF"/>
            </w:tcBorders>
            <w:tcMar>
              <w:top w:w="90" w:type="dxa"/>
              <w:left w:w="0" w:type="dxa"/>
              <w:bottom w:w="90" w:type="dxa"/>
              <w:right w:w="80" w:type="dxa"/>
            </w:tcMar>
            <w:vAlign w:val="bottom"/>
          </w:tcPr>
          <w:p>
            <w:pPr>
              <w:spacing w:line="276" w:lineRule="auto"/>
            </w:pPr>
            <w:r>
              <w:rPr>
                <w:b/>
                <w:bCs/>
                <w:color w:val="1C1A1A"/>
                <w:sz w:val="18"/>
                <w:szCs w:val="18"/>
              </w:rPr>
              <w:t>Date evidence is expected</w:t>
            </w:r>
          </w:p>
        </w:tc>
        <w:tc>
          <w:tcPr>
            <w:tcW w:w="3000" w:type="dxa"/>
            <w:tcBorders>
              <w:top w:val="none" w:sz="0" w:space="0" w:color="FFFFFF"/>
              <w:left w:val="none" w:sz="0" w:space="0" w:color="FFFFFF"/>
              <w:bottom w:val="single" w:sz="4" w:space="0" w:color="8A8483"/>
              <w:right w:val="none" w:sz="0" w:space="0" w:color="FFFFFF"/>
            </w:tcBorders>
            <w:tcMar>
              <w:top w:w="90" w:type="dxa"/>
              <w:left w:w="120" w:type="dxa"/>
              <w:bottom w:w="90" w:type="dxa"/>
              <w:right w:w="120" w:type="dxa"/>
            </w:tcMar>
            <w:vAlign w:val="bottom"/>
          </w:tcPr>
          <w:p>
            <w:pPr>
              <w:spacing w:line="276" w:lineRule="auto"/>
            </w:pPr>
          </w:p>
        </w:tc>
      </w:tr>
    </w:tbl>
    <w:p>
      <w:pPr>
        <w:spacing w:after="2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06"/>
      </w:tblGrid>
      <w:tr>
        <w:tblPrEx>
          <w:tblCellMar>
            <w:top w:w="0" w:type="dxa"/>
            <w:bottom w:w="0" w:type="dxa"/>
          </w:tblCellMar>
        </w:tblPrEx>
        <w:trPr>
          <w:cantSplit/>
          <w:tblHeader/>
        </w:trPr>
        <w:tc>
          <w:tcPr>
            <w:tcW w:w="330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Afterward</w:t>
            </w:r>
          </w:p>
        </w:tc>
        <w:tc>
          <w:tcPr>
            <w:tcW w:w="660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p>
        </w:tc>
      </w:tr>
      <w:tr>
        <w:tblPrEx>
          <w:tblCellMar>
            <w:top w:w="0" w:type="dxa"/>
            <w:bottom w:w="0" w:type="dxa"/>
          </w:tblCellMar>
        </w:tblPrEx>
        <w:trPr>
          <w:cantSplit/>
          <w:trHeight w:val="90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What happened</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90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meaning assigned to it, kept separate</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90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An alternative interpretation</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900"/>
        </w:trPr>
        <w:tc>
          <w:tcPr>
            <w:tcW w:w="330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The next test</w:t>
            </w:r>
          </w:p>
        </w:tc>
        <w:tc>
          <w:tcPr>
            <w:tcW w:w="660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bl>
    <w:p>
      <w:pPr>
        <w:spacing w:before="60" w:after="100" w:line="276" w:lineRule="auto"/>
      </w:pPr>
      <w:r>
        <w:rPr>
          <w:i/>
          <w:iCs/>
          <w:color w:val="6B6461"/>
          <w:sz w:val="17"/>
          <w:szCs w:val="17"/>
        </w:rPr>
        <w:t>One test settles almost nothing. Answers come from accumulation, and accumulation takes quarters. A good test shows where the assumption holds, where it has been carried further than it can go, and how much of the protection is still doing real work.</w:t>
      </w:r>
    </w:p>
    <w:p>
      <w:r>
        <w:br w:type="page"/>
      </w:r>
    </w:p>
    <w:p>
      <w:pPr>
        <w:keepNext/>
        <w:spacing w:before="260" w:after="100" w:line="276" w:lineRule="auto"/>
      </w:pPr>
      <w:r>
        <w:rPr>
          <w:rFonts w:ascii="Georgia" w:eastAsia="Georgia" w:hAnsi="Georgia" w:cs="Georgia"/>
          <w:color w:val="1C1A1A"/>
          <w:sz w:val="27"/>
          <w:szCs w:val="27"/>
        </w:rPr>
        <w:lastRenderedPageBreak/>
        <w:t>Across the ten sheets</w:t>
      </w:r>
    </w:p>
    <w:p>
      <w:pPr>
        <w:spacing w:after="100" w:line="276" w:lineRule="auto"/>
      </w:pPr>
      <w:r>
        <w:t>Each map stays its own account. Identical behavior in two people can protect entirely different commitments and will need entirely different handling, so a recurring concern is a reason to look again. Record what people declared, what they were observed doing, what they confirmed, what remains untested, and how much confidence you actually have, in separate columns.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790"/>
        <w:gridCol w:w="1790"/>
        <w:gridCol w:w="1790"/>
        <w:gridCol w:w="1790"/>
        <w:gridCol w:w="1796"/>
      </w:tblGrid>
      <w:tr>
        <w:tblPrEx>
          <w:tblCellMar>
            <w:top w:w="0" w:type="dxa"/>
            <w:bottom w:w="0" w:type="dxa"/>
          </w:tblCellMar>
        </w:tblPrEx>
        <w:trPr>
          <w:cantSplit/>
          <w:tblHeader/>
        </w:trPr>
        <w:tc>
          <w:tcPr>
            <w:tcW w:w="95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Person</w:t>
            </w:r>
          </w:p>
        </w:tc>
        <w:tc>
          <w:tcPr>
            <w:tcW w:w="179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Declared</w:t>
            </w:r>
          </w:p>
        </w:tc>
        <w:tc>
          <w:tcPr>
            <w:tcW w:w="179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Observed doing</w:t>
            </w:r>
          </w:p>
        </w:tc>
        <w:tc>
          <w:tcPr>
            <w:tcW w:w="179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Confirmed</w:t>
            </w:r>
          </w:p>
        </w:tc>
        <w:tc>
          <w:tcPr>
            <w:tcW w:w="1790"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Still untested</w:t>
            </w:r>
          </w:p>
        </w:tc>
        <w:tc>
          <w:tcPr>
            <w:tcW w:w="1796" w:type="dxa"/>
            <w:tcBorders>
              <w:top w:val="single" w:sz="4" w:space="0" w:color="1C1A1A"/>
              <w:left w:val="single" w:sz="4" w:space="0" w:color="1C1A1A"/>
              <w:bottom w:val="single" w:sz="4" w:space="0" w:color="1C1A1A"/>
              <w:right w:val="single" w:sz="4" w:space="0" w:color="1C1A1A"/>
            </w:tcBorders>
            <w:shd w:val="clear" w:color="auto" w:fill="1C1A1A"/>
            <w:tcMar>
              <w:top w:w="90" w:type="dxa"/>
              <w:left w:w="120" w:type="dxa"/>
              <w:bottom w:w="90" w:type="dxa"/>
              <w:right w:w="120" w:type="dxa"/>
            </w:tcMar>
          </w:tcPr>
          <w:p>
            <w:pPr>
              <w:spacing w:line="276" w:lineRule="auto"/>
            </w:pPr>
            <w:r>
              <w:rPr>
                <w:b/>
                <w:bCs/>
                <w:color w:val="FFFFFF"/>
                <w:sz w:val="17"/>
                <w:szCs w:val="17"/>
              </w:rPr>
              <w:t>Confidence, in words</w:t>
            </w: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1</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2</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3</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4</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5</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6</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7</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8</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9</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r>
        <w:tblPrEx>
          <w:tblCellMar>
            <w:top w:w="0" w:type="dxa"/>
            <w:bottom w:w="0" w:type="dxa"/>
          </w:tblCellMar>
        </w:tblPrEx>
        <w:trPr>
          <w:cantSplit/>
          <w:trHeight w:val="560"/>
        </w:trPr>
        <w:tc>
          <w:tcPr>
            <w:tcW w:w="950" w:type="dxa"/>
            <w:tcBorders>
              <w:top w:val="single" w:sz="4" w:space="0" w:color="D6D0C8"/>
              <w:left w:val="single" w:sz="4" w:space="0" w:color="D6D0C8"/>
              <w:bottom w:val="single" w:sz="4" w:space="0" w:color="D6D0C8"/>
              <w:right w:val="single" w:sz="4" w:space="0" w:color="D6D0C8"/>
            </w:tcBorders>
            <w:tcMar>
              <w:top w:w="90" w:type="dxa"/>
              <w:left w:w="120" w:type="dxa"/>
              <w:bottom w:w="90" w:type="dxa"/>
              <w:right w:w="120" w:type="dxa"/>
            </w:tcMar>
          </w:tcPr>
          <w:p>
            <w:pPr>
              <w:spacing w:line="276" w:lineRule="auto"/>
            </w:pPr>
            <w:r>
              <w:rPr>
                <w:b/>
                <w:bCs/>
                <w:color w:val="1C1A1A"/>
                <w:sz w:val="18"/>
                <w:szCs w:val="18"/>
              </w:rPr>
              <w:t>10</w:t>
            </w: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0"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c>
          <w:tcPr>
            <w:tcW w:w="1796" w:type="dxa"/>
            <w:tcBorders>
              <w:top w:val="single" w:sz="4" w:space="0" w:color="D6D0C8"/>
              <w:left w:val="single" w:sz="4" w:space="0" w:color="D6D0C8"/>
              <w:bottom w:val="single" w:sz="4" w:space="0" w:color="D6D0C8"/>
              <w:right w:val="single" w:sz="4" w:space="0" w:color="D6D0C8"/>
            </w:tcBorders>
            <w:shd w:val="clear" w:color="auto" w:fill="FBFAF7"/>
            <w:tcMar>
              <w:top w:w="90" w:type="dxa"/>
              <w:left w:w="120" w:type="dxa"/>
              <w:bottom w:w="90" w:type="dxa"/>
              <w:right w:w="120" w:type="dxa"/>
            </w:tcMar>
          </w:tcPr>
          <w:p>
            <w:pPr>
              <w:spacing w:line="276" w:lineRule="auto"/>
            </w:pPr>
          </w:p>
        </w:tc>
      </w:tr>
    </w:tbl>
    <w:p>
      <w:pPr>
        <w:spacing w:before="120" w:after="100" w:line="276" w:lineRule="auto"/>
      </w:pPr>
      <w:r>
        <w:rPr>
          <w:i/>
          <w:iCs/>
          <w:color w:val="943537"/>
          <w:sz w:val="18"/>
          <w:szCs w:val="18"/>
        </w:rPr>
        <w:t>Invent no percentages and no scores for fear. Ten sheets are ten accounts, and ten accounts are not a sample.</w:t>
      </w:r>
    </w:p>
    <w:sectPr>
      <w:footerReference w:type="default" r:id="rId7"/>
      <w:pgSz w:w="11906" w:h="16838"/>
      <w:pgMar w:top="900" w:right="1000" w:bottom="900" w:left="1000" w:header="708"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Bdr>
        <w:top w:val="single" w:sz="4" w:space="6" w:color="D6D0C8"/>
      </w:pBdr>
    </w:pPr>
    <w:r>
      <w:rPr>
        <w:color w:val="6B6461"/>
        <w:sz w:val="15"/>
        <w:szCs w:val="15"/>
      </w:rPr>
      <w:t xml:space="preserve">From </w:t>
    </w:r>
    <w:r>
      <w:rPr>
        <w:i/>
        <w:iCs/>
        <w:color w:val="6B6461"/>
        <w:sz w:val="15"/>
        <w:szCs w:val="15"/>
      </w:rPr>
      <w:t>Confidently Wrong</w:t>
    </w:r>
    <w:r>
      <w:rPr>
        <w:color w:val="6B6461"/>
        <w:sz w:val="15"/>
        <w:szCs w:val="15"/>
      </w:rPr>
      <w:t xml:space="preserve">  ·  theconfidentlywrong.com  ·  Free to use inside your organization</w:t>
    </w:r>
    <w:r>
      <w:rPr>
        <w:color w:val="6B6461"/>
        <w:sz w:val="15"/>
        <w:szCs w:val="15"/>
      </w:rPr>
      <w:ptab w:relativeTo="margin" w:alignment="right" w:leader="none"/>
    </w:r>
    <w:r>
      <w:rPr>
        <w:color w:val="6B6461"/>
        <w:sz w:val="15"/>
        <w:szCs w:val="15"/>
      </w:rPr>
      <w:fldChar w:fldCharType="begin"/>
    </w:r>
    <w:r>
      <w:rPr>
        <w:color w:val="6B6461"/>
        <w:sz w:val="15"/>
        <w:szCs w:val="15"/>
      </w:rPr>
      <w:instrText>PAGE</w:instrText>
    </w:r>
    <w:r>
      <w:rPr>
        <w:color w:val="6B6461"/>
        <w:sz w:val="15"/>
        <w:szCs w:val="15"/>
      </w:rPr>
      <w:fldChar w:fldCharType="separate"/>
    </w:r>
    <w:r>
      <w:rPr>
        <w:noProof/>
        <w:color w:val="6B6461"/>
        <w:sz w:val="15"/>
        <w:szCs w:val="15"/>
      </w:rPr>
      <w:t>1</w:t>
    </w:r>
    <w:r>
      <w:rPr>
        <w:color w:val="6B646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5C21BD"/>
    <w:multiLevelType w:val="hybridMultilevel"/>
    <w:tmpl w:val="EEE2F134"/>
    <w:lvl w:ilvl="0" w:tplc="0CBAAA6E">
      <w:start w:val="1"/>
      <w:numFmt w:val="bullet"/>
      <w:lvlText w:val="●"/>
      <w:lvlJc w:val="left"/>
      <w:pPr>
        <w:ind w:left="720" w:hanging="360"/>
      </w:pPr>
    </w:lvl>
    <w:lvl w:ilvl="1" w:tplc="D3342402">
      <w:start w:val="1"/>
      <w:numFmt w:val="bullet"/>
      <w:lvlText w:val="○"/>
      <w:lvlJc w:val="left"/>
      <w:pPr>
        <w:ind w:left="1440" w:hanging="360"/>
      </w:pPr>
    </w:lvl>
    <w:lvl w:ilvl="2" w:tplc="D2709B0A">
      <w:start w:val="1"/>
      <w:numFmt w:val="bullet"/>
      <w:lvlText w:val="■"/>
      <w:lvlJc w:val="left"/>
      <w:pPr>
        <w:ind w:left="2160" w:hanging="360"/>
      </w:pPr>
    </w:lvl>
    <w:lvl w:ilvl="3" w:tplc="67F23994">
      <w:start w:val="1"/>
      <w:numFmt w:val="bullet"/>
      <w:lvlText w:val="●"/>
      <w:lvlJc w:val="left"/>
      <w:pPr>
        <w:ind w:left="2880" w:hanging="360"/>
      </w:pPr>
    </w:lvl>
    <w:lvl w:ilvl="4" w:tplc="5F86FBD0">
      <w:start w:val="1"/>
      <w:numFmt w:val="bullet"/>
      <w:lvlText w:val="○"/>
      <w:lvlJc w:val="left"/>
      <w:pPr>
        <w:ind w:left="3600" w:hanging="360"/>
      </w:pPr>
    </w:lvl>
    <w:lvl w:ilvl="5" w:tplc="E1425C36">
      <w:start w:val="1"/>
      <w:numFmt w:val="bullet"/>
      <w:lvlText w:val="■"/>
      <w:lvlJc w:val="left"/>
      <w:pPr>
        <w:ind w:left="4320" w:hanging="360"/>
      </w:pPr>
    </w:lvl>
    <w:lvl w:ilvl="6" w:tplc="D68097EE">
      <w:start w:val="1"/>
      <w:numFmt w:val="bullet"/>
      <w:lvlText w:val="●"/>
      <w:lvlJc w:val="left"/>
      <w:pPr>
        <w:ind w:left="5040" w:hanging="360"/>
      </w:pPr>
    </w:lvl>
    <w:lvl w:ilvl="7" w:tplc="144C29F8">
      <w:start w:val="1"/>
      <w:numFmt w:val="bullet"/>
      <w:lvlText w:val="●"/>
      <w:lvlJc w:val="left"/>
      <w:pPr>
        <w:ind w:left="5760" w:hanging="360"/>
      </w:pPr>
    </w:lvl>
    <w:lvl w:ilvl="8" w:tplc="6ED0C018">
      <w:start w:val="1"/>
      <w:numFmt w:val="bullet"/>
      <w:lvlText w:val="●"/>
      <w:lvlJc w:val="left"/>
      <w:pPr>
        <w:ind w:left="6480" w:hanging="360"/>
      </w:pPr>
    </w:lvl>
  </w:abstractNum>
  <w:num w:numId="1" w16cid:durableId="19748710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PersonalInformation/>
  <w:removeDateAndTime/>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E2B2B"/>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1012</Words>
  <Characters>4882</Characters>
  <Application>Microsoft Office Word</Application>
  <DocSecurity>0</DocSecurity>
  <Lines>195</Lines>
  <Paragraphs>111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2026-01-01T00:00:00Z</dcterms:created>
  <dcterms:modified xsi:type="dcterms:W3CDTF">2026-01-01T00:00:00Z</dcterms:modified>
</cp:coreProperties>
</file>