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60" w:line="276" w:lineRule="auto"/>
      </w:pPr>
      <w:r>
        <w:rPr>
          <w:b/>
          <w:bCs/>
          <w:color w:val="943537"/>
          <w:spacing w:val="40"/>
          <w:sz w:val="15"/>
          <w:szCs w:val="15"/>
        </w:rPr>
        <w:t xml:space="preserve">CONFIDENTLY </w:t>
      </w:r>
      <w:proofErr w:type="gramStart"/>
      <w:r>
        <w:rPr>
          <w:b/>
          <w:bCs/>
          <w:color w:val="943537"/>
          <w:spacing w:val="40"/>
          <w:sz w:val="15"/>
          <w:szCs w:val="15"/>
        </w:rPr>
        <w:t>WRONG  ·</w:t>
      </w:r>
      <w:proofErr w:type="gramEnd"/>
      <w:r>
        <w:rPr>
          <w:b/>
          <w:bCs/>
          <w:color w:val="943537"/>
          <w:spacing w:val="40"/>
          <w:sz w:val="15"/>
          <w:szCs w:val="15"/>
        </w:rPr>
        <w:t xml:space="preserve">  INSTRUMENT 3 OF 4</w:t>
      </w:r>
    </w:p>
    <w:p>
      <w:pPr>
        <w:spacing w:before="60" w:after="80" w:line="320" w:lineRule="auto"/>
      </w:pPr>
      <w:r>
        <w:rPr>
          <w:rFonts w:ascii="Georgia" w:eastAsia="Georgia" w:hAnsi="Georgia" w:cs="Georgia"/>
          <w:color w:val="1C1A1A"/>
          <w:sz w:val="40"/>
          <w:szCs w:val="40"/>
        </w:rPr>
        <w:t>The Reasoning Record</w:t>
      </w:r>
    </w:p>
    <w:p>
      <w:pPr>
        <w:pBdr>
          <w:bottom w:val="single" w:sz="12" w:space="8" w:color="943537"/>
        </w:pBdr>
        <w:spacing w:after="140" w:line="276" w:lineRule="auto"/>
      </w:pPr>
      <w:r>
        <w:rPr>
          <w:rFonts w:ascii="Georgia" w:eastAsia="Georgia" w:hAnsi="Georgia" w:cs="Georgia"/>
          <w:i/>
          <w:iCs/>
          <w:sz w:val="22"/>
          <w:szCs w:val="22"/>
        </w:rPr>
        <w:t>This sheet catches the beliefs you revised without noticing and the one you fought hardest before giving up.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rPr>
          <w:cantSplit/>
        </w:trPr>
        <w:tc>
          <w:tcPr>
            <w:tcW w:w="4953" w:type="dxa"/>
            <w:tcBorders>
              <w:top w:val="none" w:sz="0" w:space="0" w:color="FFFFFF"/>
              <w:left w:val="none" w:sz="0" w:space="0" w:color="FFFFFF"/>
              <w:bottom w:val="none" w:sz="0" w:space="0" w:color="FFFFFF"/>
              <w:right w:val="single" w:sz="4"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WHEN</w:t>
            </w:r>
          </w:p>
          <w:p>
            <w:pPr>
              <w:spacing w:line="276" w:lineRule="auto"/>
            </w:pPr>
            <w:r>
              <w:rPr>
                <w:color w:val="1C1A1A"/>
                <w:sz w:val="18"/>
                <w:szCs w:val="18"/>
              </w:rPr>
              <w:t>Month two onward, and kept after the program closes</w:t>
            </w:r>
          </w:p>
        </w:tc>
        <w:tc>
          <w:tcPr>
            <w:tcW w:w="4953" w:type="dxa"/>
            <w:tcBorders>
              <w:top w:val="none" w:sz="0" w:space="0" w:color="FFFFFF"/>
              <w:left w:val="none" w:sz="0" w:space="0" w:color="FFFFFF"/>
              <w:bottom w:val="none" w:sz="0" w:space="0" w:color="FFFFFF"/>
              <w:right w:val="none" w:sz="0"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WHAT IT HANDS ON</w:t>
            </w:r>
          </w:p>
          <w:p>
            <w:pPr>
              <w:spacing w:line="276" w:lineRule="auto"/>
            </w:pPr>
            <w:r>
              <w:rPr>
                <w:color w:val="1C1A1A"/>
                <w:sz w:val="18"/>
                <w:szCs w:val="18"/>
              </w:rPr>
              <w:t>A dated record of what changed in your thinking</w:t>
            </w:r>
          </w:p>
        </w:tc>
      </w:tr>
    </w:tbl>
    <w:p>
      <w:pPr>
        <w:spacing w:after="160"/>
      </w:pPr>
    </w:p>
    <w:p>
      <w:pPr>
        <w:spacing w:after="100" w:line="276" w:lineRule="auto"/>
      </w:pPr>
      <w:r>
        <w:t>Four parts. The log runs all month at ten minutes an entry. The rest happens once, at the end, on a single belief.</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3300"/>
        <w:gridCol w:w="850"/>
        <w:gridCol w:w="2300"/>
        <w:gridCol w:w="700"/>
        <w:gridCol w:w="2106"/>
      </w:tblGrid>
      <w:tr>
        <w:trPr>
          <w:cantSplit/>
          <w:trHeight w:val="420"/>
        </w:trPr>
        <w:tc>
          <w:tcPr>
            <w:tcW w:w="6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Name</w:t>
            </w:r>
          </w:p>
        </w:tc>
        <w:tc>
          <w:tcPr>
            <w:tcW w:w="3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8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Program</w:t>
            </w:r>
          </w:p>
        </w:tc>
        <w:tc>
          <w:tcPr>
            <w:tcW w:w="2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7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Month</w:t>
            </w:r>
          </w:p>
        </w:tc>
        <w:tc>
          <w:tcPr>
            <w:tcW w:w="21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keepNext/>
        <w:spacing w:before="260" w:after="100" w:line="276" w:lineRule="auto"/>
      </w:pPr>
      <w:r>
        <w:rPr>
          <w:rFonts w:ascii="Georgia" w:eastAsia="Georgia" w:hAnsi="Georgia" w:cs="Georgia"/>
          <w:color w:val="1C1A1A"/>
          <w:sz w:val="27"/>
          <w:szCs w:val="27"/>
        </w:rPr>
        <w:t>Part One: The Log</w:t>
      </w:r>
    </w:p>
    <w:p>
      <w:pPr>
        <w:spacing w:after="100" w:line="276" w:lineRule="auto"/>
      </w:pPr>
      <w:r>
        <w:t>Every time the plan changes, from a rehearsal result, an interview, or something outside the building, answer two questions in two sentences.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after="40" w:line="276" w:lineRule="auto"/>
            </w:pPr>
            <w:r>
              <w:rPr>
                <w:i/>
                <w:iCs/>
                <w:color w:val="1C1A1A"/>
              </w:rPr>
              <w:t>What did I change in the plan?</w:t>
            </w:r>
          </w:p>
          <w:p>
            <w:pPr>
              <w:spacing w:line="276" w:lineRule="auto"/>
            </w:pPr>
            <w:r>
              <w:rPr>
                <w:i/>
                <w:iCs/>
                <w:color w:val="1C1A1A"/>
              </w:rPr>
              <w:t>What did I change in my beliefs about what will work?</w:t>
            </w:r>
          </w:p>
        </w:tc>
      </w:tr>
    </w:tbl>
    <w:p>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3600"/>
        <w:gridCol w:w="4706"/>
      </w:tblGrid>
      <w:tr>
        <w:trPr>
          <w:cantSplit/>
          <w:tblHeader/>
        </w:trPr>
        <w:tc>
          <w:tcPr>
            <w:tcW w:w="6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w:t>
            </w:r>
          </w:p>
        </w:tc>
        <w:tc>
          <w:tcPr>
            <w:tcW w:w="10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Date</w:t>
            </w:r>
          </w:p>
        </w:tc>
        <w:tc>
          <w:tcPr>
            <w:tcW w:w="36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The tactical change</w:t>
            </w:r>
          </w:p>
        </w:tc>
        <w:tc>
          <w:tcPr>
            <w:tcW w:w="47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The belief revised, before and after</w:t>
            </w: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i/>
                <w:iCs/>
                <w:color w:val="6B6461"/>
                <w:sz w:val="17"/>
                <w:szCs w:val="17"/>
              </w:rPr>
              <w:t>ex.</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r>
              <w:rPr>
                <w:i/>
                <w:iCs/>
                <w:color w:val="6B6461"/>
                <w:sz w:val="17"/>
                <w:szCs w:val="17"/>
              </w:rPr>
              <w:t>4 Mar</w:t>
            </w: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r>
              <w:rPr>
                <w:i/>
                <w:iCs/>
                <w:color w:val="6B6461"/>
                <w:sz w:val="17"/>
                <w:szCs w:val="17"/>
              </w:rPr>
              <w:t>Delayed go-live by two weeks</w:t>
            </w: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r>
              <w:rPr>
                <w:i/>
                <w:iCs/>
                <w:color w:val="6B6461"/>
                <w:sz w:val="17"/>
                <w:szCs w:val="17"/>
              </w:rPr>
              <w:t>Believed the delay would read as weakness. Now believe it reads as seriousness.</w:t>
            </w: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1</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2</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3</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4</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5</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6</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7</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cantSplit/>
          <w:trHeight w:val="700"/>
        </w:trPr>
        <w:tc>
          <w:tcPr>
            <w:tcW w:w="6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8</w:t>
            </w:r>
          </w:p>
        </w:tc>
        <w:tc>
          <w:tcPr>
            <w:tcW w:w="1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36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47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spacing w:before="60" w:after="100" w:line="276" w:lineRule="auto"/>
      </w:pPr>
      <w:r>
        <w:rPr>
          <w:i/>
          <w:iCs/>
          <w:color w:val="6B6461"/>
          <w:sz w:val="17"/>
          <w:szCs w:val="17"/>
        </w:rPr>
        <w:t xml:space="preserve">Add rows as the month produces them. A quiet month produces three </w:t>
      </w:r>
      <w:proofErr w:type="gramStart"/>
      <w:r>
        <w:rPr>
          <w:i/>
          <w:iCs/>
          <w:color w:val="6B6461"/>
          <w:sz w:val="17"/>
          <w:szCs w:val="17"/>
        </w:rPr>
        <w:t>entries</w:t>
      </w:r>
      <w:proofErr w:type="gramEnd"/>
      <w:r>
        <w:rPr>
          <w:i/>
          <w:iCs/>
          <w:color w:val="6B6461"/>
          <w:sz w:val="17"/>
          <w:szCs w:val="17"/>
        </w:rPr>
        <w:t xml:space="preserve"> and a bad one produces twenty.</w:t>
      </w:r>
    </w:p>
    <w:p>
      <w:pPr>
        <w:spacing w:after="100" w:line="276" w:lineRule="auto"/>
      </w:pPr>
      <w:r>
        <w:lastRenderedPageBreak/>
        <w:t xml:space="preserve">Where nothing moved underneath, write single-loop only and go back to work. The distinction between single-loop and double-loop learning is Argyris and Schön’s, set out in “A Better Question.” Most entries read </w:t>
      </w:r>
      <w:proofErr w:type="gramStart"/>
      <w:r>
        <w:t>single-loop</w:t>
      </w:r>
      <w:proofErr w:type="gramEnd"/>
      <w:r>
        <w:t>, which is what makes the others findable.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1200"/>
        <w:gridCol w:w="1700"/>
        <w:gridCol w:w="1700"/>
        <w:gridCol w:w="2806"/>
      </w:tblGrid>
      <w:tr>
        <w:trPr>
          <w:cantSplit/>
          <w:trHeight w:val="420"/>
        </w:trPr>
        <w:tc>
          <w:tcPr>
            <w:tcW w:w="8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Entries</w:t>
            </w:r>
          </w:p>
        </w:tc>
        <w:tc>
          <w:tcPr>
            <w:tcW w:w="17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Double loop</w:t>
            </w:r>
          </w:p>
        </w:tc>
        <w:tc>
          <w:tcPr>
            <w:tcW w:w="17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17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Single loop only</w:t>
            </w:r>
          </w:p>
        </w:tc>
        <w:tc>
          <w:tcPr>
            <w:tcW w:w="28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140"/>
      </w:pPr>
    </w:p>
    <w:p>
      <w:pPr>
        <w:spacing w:after="100" w:line="276" w:lineRule="auto"/>
      </w:pPr>
      <w:r>
        <w:t>Count the ratio, then refuse to make it a target. No healthy number exists, because the right balance depends on the decision in front of you and on whether your governing assumptions still deserve to stand. Read it instead. All tactical suggests a belief kept out of range. All profound suggests routine correction getting dressed up as transformation. The log earns its keep when it makes consequential assumptions explicit, arguable, and revisable once the evidence stops holding them up.</w:t>
      </w:r>
    </w:p>
    <w:p>
      <w:pPr>
        <w:spacing w:after="100" w:line="276" w:lineRule="auto"/>
      </w:pPr>
      <w:r>
        <w:t>Keep the log after the program closes. It is the dated record a later review depends on, because it was written before anyone knew how things turned out.</w:t>
      </w:r>
    </w:p>
    <w:p>
      <w:pPr>
        <w:keepNext/>
        <w:spacing w:before="260" w:after="100" w:line="276" w:lineRule="auto"/>
      </w:pPr>
      <w:r>
        <w:rPr>
          <w:rFonts w:ascii="Georgia" w:eastAsia="Georgia" w:hAnsi="Georgia" w:cs="Georgia"/>
          <w:color w:val="1C1A1A"/>
          <w:sz w:val="27"/>
          <w:szCs w:val="27"/>
        </w:rPr>
        <w:t>Part Two: The Hardest Revision</w:t>
      </w:r>
    </w:p>
    <w:p>
      <w:pPr>
        <w:spacing w:after="100" w:line="276" w:lineRule="auto"/>
      </w:pPr>
      <w:r>
        <w:t>Go through the log for the belief that was hardest to give up, which is often a different entry from the most consequential one. Look for the one you resisted longest, where the evidence had been lying around for weeks before you took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806"/>
      </w:tblGrid>
      <w:tr>
        <w:trPr>
          <w:cantSplit/>
          <w:trHeight w:val="420"/>
        </w:trPr>
        <w:tc>
          <w:tcPr>
            <w:tcW w:w="11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The belief</w:t>
            </w:r>
          </w:p>
        </w:tc>
        <w:tc>
          <w:tcPr>
            <w:tcW w:w="88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trPr>
          <w:cantSplit/>
          <w:trHeight w:val="420"/>
        </w:trPr>
        <w:tc>
          <w:tcPr>
            <w:tcW w:w="24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How long you had held it</w:t>
            </w:r>
          </w:p>
        </w:tc>
        <w:tc>
          <w:tcPr>
            <w:tcW w:w="75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120"/>
      </w:pPr>
    </w:p>
    <w:p>
      <w:pPr>
        <w:spacing w:line="276" w:lineRule="auto"/>
      </w:pPr>
      <w:r>
        <w:rPr>
          <w:b/>
          <w:bCs/>
          <w:color w:val="1C1A1A"/>
          <w:sz w:val="18"/>
          <w:szCs w:val="18"/>
        </w:rPr>
        <w:t>Where else in the company the same belief is shaping decisions: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pPr>
        <w:spacing w:before="100" w:after="100" w:line="276" w:lineRule="auto"/>
      </w:pPr>
      <w:r>
        <w:rPr>
          <w:i/>
          <w:iCs/>
          <w:color w:val="943537"/>
          <w:sz w:val="18"/>
          <w:szCs w:val="18"/>
        </w:rPr>
        <w:t>That last line is where this stops being about one rollout.</w:t>
      </w:r>
    </w:p>
    <w:p>
      <w:r>
        <w:br w:type="page"/>
      </w:r>
    </w:p>
    <w:p>
      <w:pPr>
        <w:keepNext/>
        <w:spacing w:before="260" w:after="100" w:line="276" w:lineRule="auto"/>
      </w:pPr>
      <w:r>
        <w:rPr>
          <w:rFonts w:ascii="Georgia" w:eastAsia="Georgia" w:hAnsi="Georgia" w:cs="Georgia"/>
          <w:color w:val="1C1A1A"/>
          <w:sz w:val="27"/>
          <w:szCs w:val="27"/>
        </w:rPr>
        <w:lastRenderedPageBreak/>
        <w:t>Part Three: The Page</w:t>
      </w:r>
    </w:p>
    <w:p>
      <w:pPr>
        <w:spacing w:after="100" w:line="276" w:lineRule="auto"/>
      </w:pPr>
      <w:r>
        <w:t>One page on that belief, keeping what you observed apart from what you concluded. Six questions.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68"/>
        <w:gridCol w:w="6288"/>
        <w:gridCol w:w="25"/>
      </w:tblGrid>
      <w:tr>
        <w:trPr>
          <w:gridAfter w:val="1"/>
          <w:wAfter w:w="25" w:type="dxa"/>
          <w:cantSplit/>
          <w:tblHeader/>
        </w:trPr>
        <w:tc>
          <w:tcPr>
            <w:tcW w:w="3600" w:type="dxa"/>
            <w:gridSpan w:val="2"/>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Question</w:t>
            </w:r>
          </w:p>
        </w:tc>
        <w:tc>
          <w:tcPr>
            <w:tcW w:w="63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Your answer</w:t>
            </w: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directly observable evidence supported the original conclusion?</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meaning did you add, and which part of that was inference?</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evidence did you discount because it threatened your competence, standing or control?</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How did your own actions help produce the response you attributed to other people?</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evidence would disconfirm the belief you hold now?</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After w:val="1"/>
          <w:wAfter w:w="25" w:type="dxa"/>
          <w:cantSplit/>
          <w:trHeight w:val="1250"/>
        </w:trPr>
        <w:tc>
          <w:tcPr>
            <w:tcW w:w="3600" w:type="dxa"/>
            <w:gridSpan w:val="2"/>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Who lives with the consequences of this belief, and therefore has standing to argue with it?</w:t>
            </w:r>
          </w:p>
        </w:tc>
        <w:tc>
          <w:tcPr>
            <w:tcW w:w="63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rPr>
          <w:gridBefore w:val="1"/>
          <w:wBefore w:w="25" w:type="dxa"/>
          <w:cantSplit/>
        </w:trPr>
        <w:tc>
          <w:tcPr>
            <w:tcW w:w="9906" w:type="dxa"/>
            <w:gridSpan w:val="3"/>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line="276" w:lineRule="auto"/>
            </w:pPr>
            <w:r>
              <w:t>The page holds material you set aside because it was uncomfortable. One other person sees it, in Part Four. It goes on no shared drive, and it gets destroyed when the program closes. The log in Part One stays.</w:t>
            </w:r>
          </w:p>
        </w:tc>
      </w:tr>
    </w:tbl>
    <w:p>
      <w:pPr>
        <w:keepNext/>
        <w:spacing w:before="260" w:after="100" w:line="276" w:lineRule="auto"/>
      </w:pPr>
      <w:r>
        <w:rPr>
          <w:rFonts w:ascii="Georgia" w:eastAsia="Georgia" w:hAnsi="Georgia" w:cs="Georgia"/>
          <w:color w:val="1C1A1A"/>
          <w:sz w:val="27"/>
          <w:szCs w:val="27"/>
        </w:rPr>
        <w:t>Part Four: The Conversation</w:t>
      </w:r>
    </w:p>
    <w:p>
      <w:pPr>
        <w:spacing w:after="100" w:line="276" w:lineRule="auto"/>
      </w:pPr>
      <w:r>
        <w:t>The sixth question named the person. Take the page to someone who lived on the receiving end of the decision.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600"/>
        <w:gridCol w:w="3306"/>
      </w:tblGrid>
      <w:tr>
        <w:trPr>
          <w:cantSplit/>
          <w:trHeight w:val="420"/>
        </w:trPr>
        <w:tc>
          <w:tcPr>
            <w:tcW w:w="12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Tested with</w:t>
            </w:r>
          </w:p>
        </w:tc>
        <w:tc>
          <w:tcPr>
            <w:tcW w:w="48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w:t>
            </w:r>
          </w:p>
        </w:tc>
        <w:tc>
          <w:tcPr>
            <w:tcW w:w="33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140"/>
      </w:pPr>
    </w:p>
    <w:p>
      <w:pPr>
        <w:spacing w:after="100" w:line="276" w:lineRule="auto"/>
      </w:pPr>
      <w:r>
        <w:t>Almost always this is somebody more junior, which is the whole difficulty. Telling a senior person their account of events is self-serving costs the teller something real, and asking nicely does not remove the cost. Two things reduce it. Lead with your own contribution to the outcome, in specific terms, before asking for anything. And say at the start that you expect the account to be wrong somewhere and want to know where.</w:t>
      </w:r>
    </w:p>
    <w:p>
      <w:pPr>
        <w:spacing w:after="100" w:line="276" w:lineRule="auto"/>
      </w:pPr>
      <w:r>
        <w:t>Keep evidence separate from your reading of it. Ask where the story is self-serving, thin, or impossible to check. Listen without rebutting, whatever arrives.</w:t>
      </w:r>
    </w:p>
    <w:p>
      <w:pPr>
        <w:rPr>
          <w:b/>
          <w:bCs/>
          <w:color w:val="1C1A1A"/>
          <w:sz w:val="18"/>
          <w:szCs w:val="18"/>
        </w:rPr>
      </w:pPr>
      <w:r>
        <w:rPr>
          <w:b/>
          <w:bCs/>
          <w:color w:val="1C1A1A"/>
          <w:sz w:val="18"/>
          <w:szCs w:val="18"/>
        </w:rPr>
        <w:br w:type="page"/>
      </w:r>
    </w:p>
    <w:p>
      <w:pPr>
        <w:spacing w:before="80" w:line="276" w:lineRule="auto"/>
      </w:pPr>
      <w:r>
        <w:rPr>
          <w:b/>
          <w:bCs/>
          <w:color w:val="1C1A1A"/>
          <w:sz w:val="18"/>
          <w:szCs w:val="18"/>
        </w:rPr>
        <w:lastRenderedPageBreak/>
        <w:t>What their evidence corrected: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r>
        <w:trPr>
          <w:cantSplit/>
          <w:trHeight w:val="400"/>
        </w:trPr>
        <w:tc>
          <w:tcPr>
            <w:tcW w:w="9906" w:type="dxa"/>
            <w:tcBorders>
              <w:top w:val="none" w:sz="0" w:space="0" w:color="FFFFFF"/>
              <w:left w:val="none" w:sz="0" w:space="0" w:color="FFFFFF"/>
              <w:bottom w:val="single" w:sz="4" w:space="0" w:color="8A8483"/>
              <w:right w:val="none" w:sz="0" w:space="0" w:color="FFFFFF"/>
            </w:tcBorders>
            <w:tcMar>
              <w:top w:w="0" w:type="dxa"/>
              <w:left w:w="0" w:type="dxa"/>
              <w:bottom w:w="0" w:type="dxa"/>
              <w:right w:w="0" w:type="dxa"/>
            </w:tcMar>
          </w:tcPr>
          <w:p>
            <w:pPr>
              <w:spacing w:line="276" w:lineRule="auto"/>
            </w:pPr>
          </w:p>
        </w:tc>
      </w:tr>
    </w:tbl>
    <w:p>
      <w:pPr>
        <w:spacing w:before="160" w:after="100" w:line="276" w:lineRule="auto"/>
      </w:pPr>
      <w:r>
        <w:t>Sometimes what comes back means a live decision was made on a belief that does not hold. Write down which decision, and the date you will reopen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6"/>
      </w:tblGrid>
      <w:tr>
        <w:trPr>
          <w:cantSplit/>
          <w:trHeight w:val="420"/>
        </w:trPr>
        <w:tc>
          <w:tcPr>
            <w:tcW w:w="27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Decision to reopen, and date</w:t>
            </w:r>
          </w:p>
        </w:tc>
        <w:tc>
          <w:tcPr>
            <w:tcW w:w="72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line="276" w:lineRule="auto"/>
            </w:pPr>
            <w:r>
              <w:t>Skip that line and the conversation becomes a ritual. The person who told you the uncomfortable thing will watch what happens next, and so will everyone they talk to afterward. Expose your own reasoning before you ask anyone to expose theirs. Safety is what lets somebody speak, and reasoning specific enough to be tested is what makes the speaking worth anything.</w:t>
            </w:r>
          </w:p>
        </w:tc>
      </w:tr>
    </w:tbl>
    <w:p/>
    <w:sectPr>
      <w:footerReference w:type="default" r:id="rId7"/>
      <w:pgSz w:w="11906" w:h="16838"/>
      <w:pgMar w:top="900" w:right="1000" w:bottom="900" w:left="1000"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Bdr>
        <w:top w:val="single" w:sz="4" w:space="6" w:color="D6D0C8"/>
      </w:pBdr>
    </w:pPr>
    <w:r>
      <w:rPr>
        <w:color w:val="6B6461"/>
        <w:sz w:val="15"/>
        <w:szCs w:val="15"/>
      </w:rPr>
      <w:t xml:space="preserve">From </w:t>
    </w:r>
    <w:r>
      <w:rPr>
        <w:i/>
        <w:iCs/>
        <w:color w:val="6B6461"/>
        <w:sz w:val="15"/>
        <w:szCs w:val="15"/>
      </w:rPr>
      <w:t xml:space="preserve">Confidently </w:t>
    </w:r>
    <w:proofErr w:type="gramStart"/>
    <w:r>
      <w:rPr>
        <w:i/>
        <w:iCs/>
        <w:color w:val="6B6461"/>
        <w:sz w:val="15"/>
        <w:szCs w:val="15"/>
      </w:rPr>
      <w:t>Wrong</w:t>
    </w:r>
    <w:r>
      <w:rPr>
        <w:color w:val="6B6461"/>
        <w:sz w:val="15"/>
        <w:szCs w:val="15"/>
      </w:rPr>
      <w:t xml:space="preserve">  ·</w:t>
    </w:r>
    <w:proofErr w:type="gramEnd"/>
    <w:r>
      <w:rPr>
        <w:color w:val="6B6461"/>
        <w:sz w:val="15"/>
        <w:szCs w:val="15"/>
      </w:rPr>
      <w:t xml:space="preserve">  </w:t>
    </w:r>
    <w:proofErr w:type="gramStart"/>
    <w:r>
      <w:rPr>
        <w:color w:val="6B6461"/>
        <w:sz w:val="15"/>
        <w:szCs w:val="15"/>
      </w:rPr>
      <w:t>theconfidentlywrong.com  ·</w:t>
    </w:r>
    <w:proofErr w:type="gramEnd"/>
    <w:r>
      <w:rPr>
        <w:color w:val="6B6461"/>
        <w:sz w:val="15"/>
        <w:szCs w:val="15"/>
      </w:rPr>
      <w:t xml:space="preserve">  Free to use inside your organization</w:t>
    </w:r>
    <w:r>
      <w:rPr>
        <w:color w:val="6B6461"/>
        <w:sz w:val="15"/>
        <w:szCs w:val="15"/>
      </w:rPr>
      <w:ptab w:relativeTo="margin" w:alignment="right" w:leader="none"/>
    </w:r>
    <w:r>
      <w:rPr>
        <w:color w:val="6B6461"/>
        <w:sz w:val="15"/>
        <w:szCs w:val="15"/>
      </w:rPr>
      <w:fldChar w:fldCharType="begin"/>
    </w:r>
    <w:r>
      <w:rPr>
        <w:color w:val="6B6461"/>
        <w:sz w:val="15"/>
        <w:szCs w:val="15"/>
      </w:rPr>
      <w:instrText>PAGE</w:instrText>
    </w:r>
    <w:r>
      <w:rPr>
        <w:color w:val="6B6461"/>
        <w:sz w:val="15"/>
        <w:szCs w:val="15"/>
      </w:rPr>
      <w:fldChar w:fldCharType="separate"/>
    </w:r>
    <w:r>
      <w:rPr>
        <w:noProof/>
        <w:color w:val="6B6461"/>
        <w:sz w:val="15"/>
        <w:szCs w:val="15"/>
      </w:rPr>
      <w:t>1</w:t>
    </w:r>
    <w:r>
      <w:rPr>
        <w:color w:val="6B646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F84651"/>
    <w:multiLevelType w:val="hybridMultilevel"/>
    <w:tmpl w:val="BBF2D62E"/>
    <w:lvl w:ilvl="0" w:tplc="6478AD18">
      <w:start w:val="1"/>
      <w:numFmt w:val="bullet"/>
      <w:lvlText w:val="●"/>
      <w:lvlJc w:val="left"/>
      <w:pPr>
        <w:ind w:left="720" w:hanging="360"/>
      </w:pPr>
    </w:lvl>
    <w:lvl w:ilvl="1" w:tplc="0E341FD6">
      <w:start w:val="1"/>
      <w:numFmt w:val="bullet"/>
      <w:lvlText w:val="○"/>
      <w:lvlJc w:val="left"/>
      <w:pPr>
        <w:ind w:left="1440" w:hanging="360"/>
      </w:pPr>
    </w:lvl>
    <w:lvl w:ilvl="2" w:tplc="CD9A1266">
      <w:start w:val="1"/>
      <w:numFmt w:val="bullet"/>
      <w:lvlText w:val="■"/>
      <w:lvlJc w:val="left"/>
      <w:pPr>
        <w:ind w:left="2160" w:hanging="360"/>
      </w:pPr>
    </w:lvl>
    <w:lvl w:ilvl="3" w:tplc="35186B1C">
      <w:start w:val="1"/>
      <w:numFmt w:val="bullet"/>
      <w:lvlText w:val="●"/>
      <w:lvlJc w:val="left"/>
      <w:pPr>
        <w:ind w:left="2880" w:hanging="360"/>
      </w:pPr>
    </w:lvl>
    <w:lvl w:ilvl="4" w:tplc="7BF04970">
      <w:start w:val="1"/>
      <w:numFmt w:val="bullet"/>
      <w:lvlText w:val="○"/>
      <w:lvlJc w:val="left"/>
      <w:pPr>
        <w:ind w:left="3600" w:hanging="360"/>
      </w:pPr>
    </w:lvl>
    <w:lvl w:ilvl="5" w:tplc="D804D484">
      <w:start w:val="1"/>
      <w:numFmt w:val="bullet"/>
      <w:lvlText w:val="■"/>
      <w:lvlJc w:val="left"/>
      <w:pPr>
        <w:ind w:left="4320" w:hanging="360"/>
      </w:pPr>
    </w:lvl>
    <w:lvl w:ilvl="6" w:tplc="574EE612">
      <w:start w:val="1"/>
      <w:numFmt w:val="bullet"/>
      <w:lvlText w:val="●"/>
      <w:lvlJc w:val="left"/>
      <w:pPr>
        <w:ind w:left="5040" w:hanging="360"/>
      </w:pPr>
    </w:lvl>
    <w:lvl w:ilvl="7" w:tplc="ECA29BC0">
      <w:start w:val="1"/>
      <w:numFmt w:val="bullet"/>
      <w:lvlText w:val="●"/>
      <w:lvlJc w:val="left"/>
      <w:pPr>
        <w:ind w:left="5760" w:hanging="360"/>
      </w:pPr>
    </w:lvl>
    <w:lvl w:ilvl="8" w:tplc="7F462306">
      <w:start w:val="1"/>
      <w:numFmt w:val="bullet"/>
      <w:lvlText w:val="●"/>
      <w:lvlJc w:val="left"/>
      <w:pPr>
        <w:ind w:left="6480" w:hanging="360"/>
      </w:pPr>
    </w:lvl>
  </w:abstractNum>
  <w:num w:numId="1" w16cid:durableId="18639343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E2B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784</Words>
  <Characters>3783</Characters>
  <Application>Microsoft Office Word</Application>
  <DocSecurity>0</DocSecurity>
  <Lines>151</Lines>
  <Paragraphs>86</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2026-01-01T00:00:00Z</dcterms:created>
  <dcterms:modified xsi:type="dcterms:W3CDTF">2026-01-01T00:00:00Z</dcterms:modified>
</cp:coreProperties>
</file>