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60" w:line="276" w:lineRule="auto"/>
      </w:pPr>
      <w:r>
        <w:rPr>
          <w:b/>
          <w:bCs/>
          <w:color w:val="943537"/>
          <w:spacing w:val="40"/>
          <w:sz w:val="15"/>
          <w:szCs w:val="15"/>
        </w:rPr>
        <w:t>CONFIDENTLY WRONG  ·  INSTRUMENT 4 OF 4</w:t>
      </w:r>
    </w:p>
    <w:p>
      <w:pPr>
        <w:spacing w:before="60" w:after="80" w:line="320" w:lineRule="auto"/>
      </w:pPr>
      <w:r>
        <w:rPr>
          <w:rFonts w:ascii="Georgia" w:eastAsia="Georgia" w:hAnsi="Georgia" w:cs="Georgia"/>
          <w:color w:val="1C1A1A"/>
          <w:sz w:val="40"/>
          <w:szCs w:val="40"/>
        </w:rPr>
        <w:t>The Deployment Audit</w:t>
      </w:r>
    </w:p>
    <w:p>
      <w:pPr>
        <w:pBdr>
          <w:bottom w:val="single" w:sz="12" w:space="8" w:color="943537"/>
        </w:pBdr>
        <w:spacing w:after="140" w:line="276" w:lineRule="auto"/>
      </w:pPr>
      <w:r>
        <w:rPr>
          <w:rFonts w:ascii="Georgia" w:eastAsia="Georgia" w:hAnsi="Georgia" w:cs="Georgia"/>
          <w:i/>
          <w:iCs/>
          <w:sz w:val="22"/>
          <w:szCs w:val="22"/>
        </w:rPr>
        <w:t>One sheet per deployment, run by the council, kept afterward.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tblPrEx>
          <w:tblCellMar>
            <w:top w:w="0" w:type="dxa"/>
            <w:bottom w:w="0" w:type="dxa"/>
          </w:tblCellMar>
        </w:tblPrEx>
        <w:trPr>
          <w:cantSplit/>
        </w:trPr>
        <w:tc>
          <w:tcPr>
            <w:tcW w:w="4953" w:type="dxa"/>
            <w:tcBorders>
              <w:top w:val="none" w:sz="0" w:space="0" w:color="FFFFFF"/>
              <w:left w:val="none" w:sz="0" w:space="0" w:color="FFFFFF"/>
              <w:bottom w:val="none" w:sz="0" w:space="0" w:color="FFFFFF"/>
              <w:right w:val="single" w:sz="4" w:space="0" w:color="FFFFFF"/>
            </w:tcBorders>
            <w:shd w:val="clear" w:color="auto" w:fill="F5F2EE"/>
            <w:tcMar>
              <w:top w:w="90" w:type="dxa"/>
              <w:left w:w="120" w:type="dxa"/>
              <w:bottom w:w="90" w:type="dxa"/>
              <w:right w:w="120" w:type="dxa"/>
            </w:tcMar>
          </w:tcPr>
          <w:p>
            <w:pPr>
              <w:spacing w:after="20" w:line="276" w:lineRule="auto"/>
            </w:pPr>
            <w:r>
              <w:rPr>
                <w:b/>
                <w:bCs/>
                <w:color w:val="943537"/>
                <w:spacing w:val="30"/>
                <w:sz w:val="14"/>
                <w:szCs w:val="14"/>
              </w:rPr>
              <w:t>WHEN</w:t>
            </w:r>
          </w:p>
          <w:p>
            <w:pPr>
              <w:spacing w:line="276" w:lineRule="auto"/>
            </w:pPr>
            <w:r>
              <w:rPr>
                <w:color w:val="1C1A1A"/>
                <w:sz w:val="18"/>
                <w:szCs w:val="18"/>
              </w:rPr>
              <w:t>Before the pilot, and before scale</w:t>
            </w:r>
          </w:p>
        </w:tc>
        <w:tc>
          <w:tcPr>
            <w:tcW w:w="4953" w:type="dxa"/>
            <w:tcBorders>
              <w:top w:val="none" w:sz="0" w:space="0" w:color="FFFFFF"/>
              <w:left w:val="none" w:sz="0" w:space="0" w:color="FFFFFF"/>
              <w:bottom w:val="none" w:sz="0" w:space="0" w:color="FFFFFF"/>
              <w:right w:val="none" w:sz="0" w:space="0" w:color="FFFFFF"/>
            </w:tcBorders>
            <w:shd w:val="clear" w:color="auto" w:fill="F5F2EE"/>
            <w:tcMar>
              <w:top w:w="90" w:type="dxa"/>
              <w:left w:w="120" w:type="dxa"/>
              <w:bottom w:w="90" w:type="dxa"/>
              <w:right w:w="120" w:type="dxa"/>
            </w:tcMar>
          </w:tcPr>
          <w:p>
            <w:pPr>
              <w:spacing w:after="20" w:line="276" w:lineRule="auto"/>
            </w:pPr>
            <w:r>
              <w:rPr>
                <w:b/>
                <w:bCs/>
                <w:color w:val="943537"/>
                <w:spacing w:val="30"/>
                <w:sz w:val="14"/>
                <w:szCs w:val="14"/>
              </w:rPr>
              <w:t>WHAT IT HANDS ON</w:t>
            </w:r>
          </w:p>
          <w:p>
            <w:pPr>
              <w:spacing w:line="276" w:lineRule="auto"/>
            </w:pPr>
            <w:r>
              <w:rPr>
                <w:color w:val="1C1A1A"/>
                <w:sz w:val="18"/>
                <w:szCs w:val="18"/>
              </w:rPr>
              <w:t>Permission to touch customers, then to scale</w:t>
            </w:r>
          </w:p>
        </w:tc>
      </w:tr>
    </w:tbl>
    <w:p>
      <w:pPr>
        <w:spacing w:after="160"/>
      </w:pPr>
    </w:p>
    <w:p>
      <w:pPr>
        <w:spacing w:after="100" w:line="276" w:lineRule="auto"/>
      </w:pPr>
      <w:r>
        <w:t>Every entry in the evidence column names a document, a test result or a recorded session that somebody outside the company could inspect. An assurance from the team that built the thing clears nothing.</w:t>
      </w:r>
    </w:p>
    <w:p>
      <w:pPr>
        <w:spacing w:after="100" w:line="276" w:lineRule="auto"/>
      </w:pPr>
      <w:r>
        <w:t>Owners assemble the evidence. Sign-off comes from a council member who did not build the system. No owner may sign for a gate covering their own work. Where that overlaps, the chair assigns the sign-off elsewhere and records why.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3300"/>
        <w:gridCol w:w="600"/>
        <w:gridCol w:w="1700"/>
        <w:gridCol w:w="650"/>
        <w:gridCol w:w="2506"/>
      </w:tblGrid>
      <w:tr>
        <w:tblPrEx>
          <w:tblCellMar>
            <w:top w:w="0" w:type="dxa"/>
            <w:bottom w:w="0" w:type="dxa"/>
          </w:tblCellMar>
        </w:tblPrEx>
        <w:trPr>
          <w:cantSplit/>
          <w:trHeight w:val="420"/>
        </w:trPr>
        <w:tc>
          <w:tcPr>
            <w:tcW w:w="115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Deployment</w:t>
            </w:r>
          </w:p>
        </w:tc>
        <w:tc>
          <w:tcPr>
            <w:tcW w:w="3300"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c>
          <w:tcPr>
            <w:tcW w:w="6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Date</w:t>
            </w:r>
          </w:p>
        </w:tc>
        <w:tc>
          <w:tcPr>
            <w:tcW w:w="1700"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c>
          <w:tcPr>
            <w:tcW w:w="65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Chair</w:t>
            </w:r>
          </w:p>
        </w:tc>
        <w:tc>
          <w:tcPr>
            <w:tcW w:w="2506"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r>
    </w:tbl>
    <w:p>
      <w:pPr>
        <w:keepNext/>
        <w:spacing w:before="260" w:after="100" w:line="276" w:lineRule="auto"/>
      </w:pPr>
      <w:r>
        <w:rPr>
          <w:rFonts w:ascii="Georgia" w:eastAsia="Georgia" w:hAnsi="Georgia" w:cs="Georgia"/>
          <w:color w:val="1C1A1A"/>
          <w:sz w:val="27"/>
          <w:szCs w:val="27"/>
        </w:rPr>
        <w:t>Which gates bind when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tblPrEx>
          <w:tblCellMar>
            <w:top w:w="0" w:type="dxa"/>
            <w:bottom w:w="0" w:type="dxa"/>
          </w:tblCellMar>
        </w:tblPrEx>
        <w:trPr>
          <w:cantSplit/>
        </w:trPr>
        <w:tc>
          <w:tcPr>
            <w:tcW w:w="9906" w:type="dxa"/>
            <w:tcBorders>
              <w:top w:val="none" w:sz="0" w:space="0" w:color="FFFFFF"/>
              <w:left w:val="single" w:sz="24" w:space="0" w:color="943537"/>
              <w:bottom w:val="none" w:sz="0" w:space="0" w:color="FFFFFF"/>
              <w:right w:val="none" w:sz="0" w:space="0" w:color="FFFFFF"/>
            </w:tcBorders>
            <w:shd w:val="clear" w:color="auto" w:fill="F5F2EE"/>
            <w:tcMar>
              <w:top w:w="140" w:type="dxa"/>
              <w:left w:w="220" w:type="dxa"/>
              <w:bottom w:w="120" w:type="dxa"/>
              <w:right w:w="220" w:type="dxa"/>
            </w:tcMar>
          </w:tcPr>
          <w:p>
            <w:pPr>
              <w:spacing w:after="80" w:line="276" w:lineRule="auto"/>
            </w:pPr>
            <w:r>
              <w:rPr>
                <w:b/>
                <w:bCs/>
                <w:color w:val="1C1A1A"/>
              </w:rPr>
              <w:t xml:space="preserve">Before the pilot. </w:t>
            </w:r>
            <w:r>
              <w:t>Liability and the Stop are due before the system touches a single real customer, since both concern what happens when it goes wrong, and it can go wrong on the third case it handles.</w:t>
            </w:r>
          </w:p>
          <w:p>
            <w:pPr>
              <w:spacing w:line="276" w:lineRule="auto"/>
            </w:pPr>
            <w:r>
              <w:rPr>
                <w:b/>
                <w:bCs/>
                <w:color w:val="1C1A1A"/>
              </w:rPr>
              <w:t xml:space="preserve">Before scale. </w:t>
            </w:r>
            <w:r>
              <w:t>Intent, Explainability, Bias and Operations are due before scale.</w:t>
            </w:r>
          </w:p>
        </w:tc>
      </w:tr>
    </w:tbl>
    <w:p>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306"/>
      </w:tblGrid>
      <w:tr>
        <w:tblPrEx>
          <w:tblCellMar>
            <w:top w:w="0" w:type="dxa"/>
            <w:bottom w:w="0" w:type="dxa"/>
          </w:tblCellMar>
        </w:tblPrEx>
        <w:trPr>
          <w:cantSplit/>
          <w:trHeight w:val="420"/>
        </w:trPr>
        <w:tc>
          <w:tcPr>
            <w:tcW w:w="46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Any other split is a decision, and it carries a name</w:t>
            </w:r>
          </w:p>
        </w:tc>
        <w:tc>
          <w:tcPr>
            <w:tcW w:w="5306"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r>
    </w:tbl>
    <w:p>
      <w:pPr>
        <w:keepNext/>
        <w:spacing w:before="260" w:after="100" w:line="276" w:lineRule="auto"/>
      </w:pPr>
      <w:r>
        <w:rPr>
          <w:rFonts w:ascii="Georgia" w:eastAsia="Georgia" w:hAnsi="Georgia" w:cs="Georgia"/>
          <w:color w:val="1C1A1A"/>
          <w:sz w:val="27"/>
          <w:szCs w:val="27"/>
        </w:rPr>
        <w:t>Before the pilot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3306"/>
        <w:gridCol w:w="3000"/>
      </w:tblGrid>
      <w:tr>
        <w:tblPrEx>
          <w:tblCellMar>
            <w:top w:w="0" w:type="dxa"/>
            <w:bottom w:w="0" w:type="dxa"/>
          </w:tblCellMar>
        </w:tblPrEx>
        <w:trPr>
          <w:cantSplit/>
          <w:tblHeader/>
        </w:trPr>
        <w:tc>
          <w:tcPr>
            <w:tcW w:w="17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Gate</w:t>
            </w:r>
          </w:p>
        </w:tc>
        <w:tc>
          <w:tcPr>
            <w:tcW w:w="19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Owner</w:t>
            </w:r>
          </w:p>
        </w:tc>
        <w:tc>
          <w:tcPr>
            <w:tcW w:w="3306"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Evidence required</w:t>
            </w:r>
          </w:p>
        </w:tc>
        <w:tc>
          <w:tcPr>
            <w:tcW w:w="30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The question the chair asks</w:t>
            </w:r>
          </w:p>
        </w:tc>
      </w:tr>
      <w:tr>
        <w:tblPrEx>
          <w:tblCellMar>
            <w:top w:w="0" w:type="dxa"/>
            <w:bottom w:w="0" w:type="dxa"/>
          </w:tblCellMar>
        </w:tblPrEx>
        <w:trPr>
          <w:cantSplit/>
        </w:trPr>
        <w:tc>
          <w:tcPr>
            <w:tcW w:w="17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Liability</w:t>
            </w:r>
          </w:p>
        </w:tc>
        <w:tc>
          <w:tcPr>
            <w:tcW w:w="19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Legal or risk, never the program team</w:t>
            </w:r>
          </w:p>
        </w:tc>
        <w:tc>
          <w:tcPr>
            <w:tcW w:w="33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Signed operating contract naming who answers for a failure and the conditions under which a human overrides</w:t>
            </w:r>
          </w:p>
        </w:tc>
        <w:tc>
          <w:tcPr>
            <w:tcW w:w="30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i/>
                <w:iCs/>
                <w:color w:val="1C1A1A"/>
                <w:sz w:val="17"/>
                <w:szCs w:val="17"/>
              </w:rPr>
              <w:t>When this causes a loss, which named person answers for it, and is that person senior enough for it to hurt?</w:t>
            </w:r>
          </w:p>
        </w:tc>
      </w:tr>
      <w:tr>
        <w:tblPrEx>
          <w:tblCellMar>
            <w:top w:w="0" w:type="dxa"/>
            <w:bottom w:w="0" w:type="dxa"/>
          </w:tblCellMar>
        </w:tblPrEx>
        <w:trPr>
          <w:cantSplit/>
        </w:trPr>
        <w:tc>
          <w:tcPr>
            <w:tcW w:w="17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The Stop</w:t>
            </w:r>
          </w:p>
        </w:tc>
        <w:tc>
          <w:tcPr>
            <w:tcW w:w="19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Platform operations, never the build team</w:t>
            </w:r>
          </w:p>
        </w:tc>
        <w:tc>
          <w:tcPr>
            <w:tcW w:w="33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Log of a halt demonstrated on the live system before customer traffic reaches it, plus a record of one full business day run in fallback and a written account of what broke</w:t>
            </w:r>
          </w:p>
        </w:tc>
        <w:tc>
          <w:tcPr>
            <w:tcW w:w="30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i/>
                <w:iCs/>
                <w:color w:val="1C1A1A"/>
                <w:sz w:val="17"/>
                <w:szCs w:val="17"/>
              </w:rPr>
              <w:t>Has anyone stopped this in earnest, and does the company know what the following hour looks like?</w:t>
            </w:r>
          </w:p>
        </w:tc>
      </w:tr>
    </w:tbl>
    <w:p>
      <w:pPr>
        <w:keepNext/>
        <w:spacing w:before="260" w:after="100" w:line="276" w:lineRule="auto"/>
      </w:pPr>
      <w:r>
        <w:rPr>
          <w:rFonts w:ascii="Georgia" w:eastAsia="Georgia" w:hAnsi="Georgia" w:cs="Georgia"/>
          <w:color w:val="1C1A1A"/>
          <w:sz w:val="27"/>
          <w:szCs w:val="27"/>
        </w:rPr>
        <w:t>Before scale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3306"/>
        <w:gridCol w:w="3000"/>
      </w:tblGrid>
      <w:tr>
        <w:tblPrEx>
          <w:tblCellMar>
            <w:top w:w="0" w:type="dxa"/>
            <w:bottom w:w="0" w:type="dxa"/>
          </w:tblCellMar>
        </w:tblPrEx>
        <w:trPr>
          <w:cantSplit/>
          <w:tblHeader/>
        </w:trPr>
        <w:tc>
          <w:tcPr>
            <w:tcW w:w="17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Gate</w:t>
            </w:r>
          </w:p>
        </w:tc>
        <w:tc>
          <w:tcPr>
            <w:tcW w:w="19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Owner</w:t>
            </w:r>
          </w:p>
        </w:tc>
        <w:tc>
          <w:tcPr>
            <w:tcW w:w="3306"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Evidence required</w:t>
            </w:r>
          </w:p>
        </w:tc>
        <w:tc>
          <w:tcPr>
            <w:tcW w:w="30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The question the chair asks</w:t>
            </w:r>
          </w:p>
        </w:tc>
      </w:tr>
      <w:tr>
        <w:tblPrEx>
          <w:tblCellMar>
            <w:top w:w="0" w:type="dxa"/>
            <w:bottom w:w="0" w:type="dxa"/>
          </w:tblCellMar>
        </w:tblPrEx>
        <w:trPr>
          <w:cantSplit/>
        </w:trPr>
        <w:tc>
          <w:tcPr>
            <w:tcW w:w="17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Intent</w:t>
            </w:r>
          </w:p>
        </w:tc>
        <w:tc>
          <w:tcPr>
            <w:tcW w:w="19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The person measured on the outcome</w:t>
            </w:r>
          </w:p>
        </w:tc>
        <w:tc>
          <w:tcPr>
            <w:tcW w:w="33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One page naming the business result and a number somebody answers for</w:t>
            </w:r>
          </w:p>
        </w:tc>
        <w:tc>
          <w:tcPr>
            <w:tcW w:w="30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i/>
                <w:iCs/>
                <w:color w:val="1C1A1A"/>
                <w:sz w:val="17"/>
                <w:szCs w:val="17"/>
              </w:rPr>
              <w:t>Could a reader tell, a year from now, that this page failed?</w:t>
            </w:r>
          </w:p>
        </w:tc>
      </w:tr>
      <w:tr>
        <w:tblPrEx>
          <w:tblCellMar>
            <w:top w:w="0" w:type="dxa"/>
            <w:bottom w:w="0" w:type="dxa"/>
          </w:tblCellMar>
        </w:tblPrEx>
        <w:trPr>
          <w:cantSplit/>
        </w:trPr>
        <w:tc>
          <w:tcPr>
            <w:tcW w:w="17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Explainability</w:t>
            </w:r>
          </w:p>
        </w:tc>
        <w:tc>
          <w:tcPr>
            <w:tcW w:w="19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The function that will operate the system</w:t>
            </w:r>
          </w:p>
        </w:tc>
        <w:tc>
          <w:tcPr>
            <w:tcW w:w="33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Record of a mock inquiry in which a user explained the logic under questioning, signed off by the executive who asked the questions</w:t>
            </w:r>
          </w:p>
        </w:tc>
        <w:tc>
          <w:tcPr>
            <w:tcW w:w="30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i/>
                <w:iCs/>
                <w:color w:val="1C1A1A"/>
                <w:sz w:val="17"/>
                <w:szCs w:val="17"/>
              </w:rPr>
              <w:t>Did the explanation hold up, and did it come from somebody who will use this rather than build it?</w:t>
            </w:r>
          </w:p>
        </w:tc>
      </w:tr>
      <w:tr>
        <w:tblPrEx>
          <w:tblCellMar>
            <w:top w:w="0" w:type="dxa"/>
            <w:bottom w:w="0" w:type="dxa"/>
          </w:tblCellMar>
        </w:tblPrEx>
        <w:trPr>
          <w:cantSplit/>
        </w:trPr>
        <w:tc>
          <w:tcPr>
            <w:tcW w:w="17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lastRenderedPageBreak/>
              <w:t>Bias</w:t>
            </w:r>
          </w:p>
        </w:tc>
        <w:tc>
          <w:tcPr>
            <w:tcW w:w="19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An owner independent of the model team</w:t>
            </w:r>
          </w:p>
        </w:tc>
        <w:tc>
          <w:tcPr>
            <w:tcW w:w="33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Audit covering what was tested, what turned up, what was fixed, and what was accepted with reasons attached</w:t>
            </w:r>
          </w:p>
        </w:tc>
        <w:tc>
          <w:tcPr>
            <w:tcW w:w="30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i/>
                <w:iCs/>
                <w:color w:val="1C1A1A"/>
                <w:sz w:val="17"/>
                <w:szCs w:val="17"/>
              </w:rPr>
              <w:t>A fairness definition was chosen before the build. Did that choice survive into the built system, and does the reasoning still hold?</w:t>
            </w:r>
          </w:p>
        </w:tc>
      </w:tr>
      <w:tr>
        <w:tblPrEx>
          <w:tblCellMar>
            <w:top w:w="0" w:type="dxa"/>
            <w:bottom w:w="0" w:type="dxa"/>
          </w:tblCellMar>
        </w:tblPrEx>
        <w:trPr>
          <w:cantSplit/>
        </w:trPr>
        <w:tc>
          <w:tcPr>
            <w:tcW w:w="17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Operations</w:t>
            </w:r>
          </w:p>
        </w:tc>
        <w:tc>
          <w:tcPr>
            <w:tcW w:w="19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Named individual with budget authority</w:t>
            </w:r>
          </w:p>
        </w:tc>
        <w:tc>
          <w:tcPr>
            <w:tcW w:w="33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A named owner for the period after the program closes, a described method for noticing when the live data drifts away from what the model learned on, and a budget line visible in next year’s plan</w:t>
            </w:r>
          </w:p>
        </w:tc>
        <w:tc>
          <w:tcPr>
            <w:tcW w:w="30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i/>
                <w:iCs/>
                <w:color w:val="1C1A1A"/>
                <w:sz w:val="17"/>
                <w:szCs w:val="17"/>
              </w:rPr>
              <w:t>Who owns this once the program ends, and where is that written down?</w:t>
            </w:r>
          </w:p>
        </w:tc>
      </w:tr>
    </w:tbl>
    <w:p>
      <w:pPr>
        <w:spacing w:before="120" w:after="100" w:line="276" w:lineRule="auto"/>
      </w:pPr>
      <w:r>
        <w:rPr>
          <w:b/>
          <w:bCs/>
          <w:color w:val="1C1A1A"/>
        </w:rPr>
        <w:t xml:space="preserve">An empty fourth section in the bias audit fails the gate. </w:t>
      </w:r>
      <w:r>
        <w:t>A report with nothing accepted and nothing explained is a report nobody read.</w:t>
      </w:r>
    </w:p>
    <w:p>
      <w:r>
        <w:br w:type="page"/>
      </w:r>
    </w:p>
    <w:p>
      <w:pPr>
        <w:keepNext/>
        <w:spacing w:before="260" w:after="100" w:line="276" w:lineRule="auto"/>
      </w:pPr>
      <w:r>
        <w:rPr>
          <w:rFonts w:ascii="Georgia" w:eastAsia="Georgia" w:hAnsi="Georgia" w:cs="Georgia"/>
          <w:color w:val="1C1A1A"/>
          <w:sz w:val="27"/>
          <w:szCs w:val="27"/>
        </w:rPr>
        <w:lastRenderedPageBreak/>
        <w:t>Result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00"/>
        <w:gridCol w:w="2500"/>
        <w:gridCol w:w="1906"/>
      </w:tblGrid>
      <w:tr>
        <w:tblPrEx>
          <w:tblCellMar>
            <w:top w:w="0" w:type="dxa"/>
            <w:bottom w:w="0" w:type="dxa"/>
          </w:tblCellMar>
        </w:tblPrEx>
        <w:trPr>
          <w:cantSplit/>
          <w:tblHeader/>
        </w:trPr>
        <w:tc>
          <w:tcPr>
            <w:tcW w:w="17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Gate</w:t>
            </w:r>
          </w:p>
        </w:tc>
        <w:tc>
          <w:tcPr>
            <w:tcW w:w="38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Evidence submitted</w:t>
            </w:r>
          </w:p>
        </w:tc>
        <w:tc>
          <w:tcPr>
            <w:tcW w:w="25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Independent sign-off</w:t>
            </w:r>
          </w:p>
        </w:tc>
        <w:tc>
          <w:tcPr>
            <w:tcW w:w="1906"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Pass / Fail</w:t>
            </w:r>
          </w:p>
        </w:tc>
      </w:tr>
      <w:tr>
        <w:tblPrEx>
          <w:tblCellMar>
            <w:top w:w="0" w:type="dxa"/>
            <w:bottom w:w="0" w:type="dxa"/>
          </w:tblCellMar>
        </w:tblPrEx>
        <w:trPr>
          <w:cantSplit/>
          <w:trHeight w:val="620"/>
        </w:trPr>
        <w:tc>
          <w:tcPr>
            <w:tcW w:w="17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Liability</w:t>
            </w:r>
          </w:p>
        </w:tc>
        <w:tc>
          <w:tcPr>
            <w:tcW w:w="38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25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 Pass   ☐ Fail</w:t>
            </w:r>
          </w:p>
        </w:tc>
      </w:tr>
      <w:tr>
        <w:tblPrEx>
          <w:tblCellMar>
            <w:top w:w="0" w:type="dxa"/>
            <w:bottom w:w="0" w:type="dxa"/>
          </w:tblCellMar>
        </w:tblPrEx>
        <w:trPr>
          <w:cantSplit/>
          <w:trHeight w:val="620"/>
        </w:trPr>
        <w:tc>
          <w:tcPr>
            <w:tcW w:w="17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The Stop</w:t>
            </w:r>
          </w:p>
        </w:tc>
        <w:tc>
          <w:tcPr>
            <w:tcW w:w="38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25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 Pass   ☐ Fail</w:t>
            </w:r>
          </w:p>
        </w:tc>
      </w:tr>
      <w:tr>
        <w:tblPrEx>
          <w:tblCellMar>
            <w:top w:w="0" w:type="dxa"/>
            <w:bottom w:w="0" w:type="dxa"/>
          </w:tblCellMar>
        </w:tblPrEx>
        <w:trPr>
          <w:cantSplit/>
          <w:trHeight w:val="620"/>
        </w:trPr>
        <w:tc>
          <w:tcPr>
            <w:tcW w:w="17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Intent</w:t>
            </w:r>
          </w:p>
        </w:tc>
        <w:tc>
          <w:tcPr>
            <w:tcW w:w="38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25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 Pass   ☐ Fail</w:t>
            </w:r>
          </w:p>
        </w:tc>
      </w:tr>
      <w:tr>
        <w:tblPrEx>
          <w:tblCellMar>
            <w:top w:w="0" w:type="dxa"/>
            <w:bottom w:w="0" w:type="dxa"/>
          </w:tblCellMar>
        </w:tblPrEx>
        <w:trPr>
          <w:cantSplit/>
          <w:trHeight w:val="620"/>
        </w:trPr>
        <w:tc>
          <w:tcPr>
            <w:tcW w:w="17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Explainability</w:t>
            </w:r>
          </w:p>
        </w:tc>
        <w:tc>
          <w:tcPr>
            <w:tcW w:w="38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25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 Pass   ☐ Fail</w:t>
            </w:r>
          </w:p>
        </w:tc>
      </w:tr>
      <w:tr>
        <w:tblPrEx>
          <w:tblCellMar>
            <w:top w:w="0" w:type="dxa"/>
            <w:bottom w:w="0" w:type="dxa"/>
          </w:tblCellMar>
        </w:tblPrEx>
        <w:trPr>
          <w:cantSplit/>
          <w:trHeight w:val="620"/>
        </w:trPr>
        <w:tc>
          <w:tcPr>
            <w:tcW w:w="17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Bias</w:t>
            </w:r>
          </w:p>
        </w:tc>
        <w:tc>
          <w:tcPr>
            <w:tcW w:w="38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25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 Pass   ☐ Fail</w:t>
            </w:r>
          </w:p>
        </w:tc>
      </w:tr>
      <w:tr>
        <w:tblPrEx>
          <w:tblCellMar>
            <w:top w:w="0" w:type="dxa"/>
            <w:bottom w:w="0" w:type="dxa"/>
          </w:tblCellMar>
        </w:tblPrEx>
        <w:trPr>
          <w:cantSplit/>
          <w:trHeight w:val="620"/>
        </w:trPr>
        <w:tc>
          <w:tcPr>
            <w:tcW w:w="17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Operations</w:t>
            </w:r>
          </w:p>
        </w:tc>
        <w:tc>
          <w:tcPr>
            <w:tcW w:w="38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25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 Pass   ☐ Fail</w:t>
            </w:r>
          </w:p>
        </w:tc>
      </w:tr>
    </w:tbl>
    <w:p>
      <w:pPr>
        <w:spacing w:before="120" w:after="100" w:line="276" w:lineRule="auto"/>
      </w:pPr>
      <w:r>
        <w:rPr>
          <w:b/>
          <w:bCs/>
          <w:color w:val="943537"/>
        </w:rPr>
        <w:t>Every gate due at this stage, as set out above, passes, or the deployment does not proceed.</w:t>
      </w:r>
    </w:p>
    <w:p>
      <w:pPr>
        <w:keepNext/>
        <w:spacing w:before="260" w:after="100" w:line="276" w:lineRule="auto"/>
      </w:pPr>
      <w:r>
        <w:rPr>
          <w:rFonts w:ascii="Georgia" w:eastAsia="Georgia" w:hAnsi="Georgia" w:cs="Georgia"/>
          <w:color w:val="1C1A1A"/>
          <w:sz w:val="27"/>
          <w:szCs w:val="27"/>
        </w:rPr>
        <w:t>When a gate fails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tblPrEx>
          <w:tblCellMar>
            <w:top w:w="0" w:type="dxa"/>
            <w:bottom w:w="0" w:type="dxa"/>
          </w:tblCellMar>
        </w:tblPrEx>
        <w:trPr>
          <w:cantSplit/>
        </w:trPr>
        <w:tc>
          <w:tcPr>
            <w:tcW w:w="9906" w:type="dxa"/>
            <w:tcBorders>
              <w:top w:val="none" w:sz="0" w:space="0" w:color="FFFFFF"/>
              <w:left w:val="single" w:sz="24" w:space="0" w:color="943537"/>
              <w:bottom w:val="none" w:sz="0" w:space="0" w:color="FFFFFF"/>
              <w:right w:val="none" w:sz="0" w:space="0" w:color="FFFFFF"/>
            </w:tcBorders>
            <w:shd w:val="clear" w:color="auto" w:fill="F5F2EE"/>
            <w:tcMar>
              <w:top w:w="140" w:type="dxa"/>
              <w:left w:w="220" w:type="dxa"/>
              <w:bottom w:w="120" w:type="dxa"/>
              <w:right w:w="220" w:type="dxa"/>
            </w:tcMar>
          </w:tcPr>
          <w:p>
            <w:pPr>
              <w:spacing w:after="60" w:line="276" w:lineRule="auto"/>
            </w:pPr>
            <w:r>
              <w:rPr>
                <w:b/>
                <w:bCs/>
                <w:color w:val="1C1A1A"/>
              </w:rPr>
              <w:t xml:space="preserve">One failure </w:t>
            </w:r>
            <w:r>
              <w:t>returns the work with a remedy, a named owner and a date.</w:t>
            </w:r>
          </w:p>
          <w:p>
            <w:pPr>
              <w:spacing w:after="60" w:line="276" w:lineRule="auto"/>
            </w:pPr>
            <w:r>
              <w:rPr>
                <w:b/>
                <w:bCs/>
                <w:color w:val="1C1A1A"/>
              </w:rPr>
              <w:t xml:space="preserve">Two failures on the same gate </w:t>
            </w:r>
            <w:r>
              <w:t>reopen the operating contract.</w:t>
            </w:r>
          </w:p>
          <w:p>
            <w:pPr>
              <w:spacing w:line="276" w:lineRule="auto"/>
            </w:pPr>
            <w:r>
              <w:rPr>
                <w:b/>
                <w:bCs/>
                <w:color w:val="1C1A1A"/>
              </w:rPr>
              <w:t xml:space="preserve">Three </w:t>
            </w:r>
            <w:r>
              <w:t>send the program to the board with a written recommendation to halt, carrying one person’s signature.</w:t>
            </w:r>
          </w:p>
        </w:tc>
      </w:tr>
    </w:tbl>
    <w:p>
      <w:pPr>
        <w:spacing w:before="120" w:after="100" w:line="276" w:lineRule="auto"/>
      </w:pPr>
      <w:r>
        <w:t>Write that rule down before the first gate runs. The argument for proceeding anyway always sounds reasonable from inside the program, and it sounds most reasonable at the point where accepting it costs the most.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400"/>
        <w:gridCol w:w="2300"/>
        <w:gridCol w:w="1400"/>
        <w:gridCol w:w="1806"/>
      </w:tblGrid>
      <w:tr>
        <w:tblPrEx>
          <w:tblCellMar>
            <w:top w:w="0" w:type="dxa"/>
            <w:bottom w:w="0" w:type="dxa"/>
          </w:tblCellMar>
        </w:tblPrEx>
        <w:trPr>
          <w:cantSplit/>
          <w:trHeight w:val="420"/>
        </w:trPr>
        <w:tc>
          <w:tcPr>
            <w:tcW w:w="17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Failures recorded</w:t>
            </w:r>
          </w:p>
        </w:tc>
        <w:tc>
          <w:tcPr>
            <w:tcW w:w="1300"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c>
          <w:tcPr>
            <w:tcW w:w="14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Remedy owner</w:t>
            </w:r>
          </w:p>
        </w:tc>
        <w:tc>
          <w:tcPr>
            <w:tcW w:w="2300"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c>
          <w:tcPr>
            <w:tcW w:w="14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Re-audit date</w:t>
            </w:r>
          </w:p>
        </w:tc>
        <w:tc>
          <w:tcPr>
            <w:tcW w:w="1806"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r>
    </w:tbl>
    <w:p>
      <w:pPr>
        <w:keepNext/>
        <w:spacing w:before="260" w:after="100" w:line="276" w:lineRule="auto"/>
      </w:pPr>
      <w:r>
        <w:rPr>
          <w:rFonts w:ascii="Georgia" w:eastAsia="Georgia" w:hAnsi="Georgia" w:cs="Georgia"/>
          <w:color w:val="1C1A1A"/>
          <w:sz w:val="27"/>
          <w:szCs w:val="27"/>
        </w:rPr>
        <w:t>What reopens a passed gate</w:t>
      </w:r>
    </w:p>
    <w:p>
      <w:pPr>
        <w:spacing w:after="100" w:line="276" w:lineRule="auto"/>
      </w:pPr>
      <w:r>
        <w:t>A gate cleared today describes the system as it stands today. Any of the following brings it back to this sheet.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tblPrEx>
          <w:tblCellMar>
            <w:top w:w="0" w:type="dxa"/>
            <w:bottom w:w="0" w:type="dxa"/>
          </w:tblCellMar>
        </w:tblPrEx>
        <w:trPr>
          <w:cantSplit/>
          <w:tblHeader/>
        </w:trPr>
        <w:tc>
          <w:tcPr>
            <w:tcW w:w="9906"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Recertification triggers</w:t>
            </w:r>
          </w:p>
        </w:tc>
      </w:tr>
      <w:tr>
        <w:tblPrEx>
          <w:tblCellMar>
            <w:top w:w="0" w:type="dxa"/>
            <w:bottom w:w="0" w:type="dxa"/>
          </w:tblCellMar>
        </w:tblPrEx>
        <w:trPr>
          <w:cantSplit/>
        </w:trPr>
        <w:tc>
          <w:tcPr>
            <w:tcW w:w="99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A new data source.</w:t>
            </w:r>
          </w:p>
        </w:tc>
      </w:tr>
      <w:tr>
        <w:tblPrEx>
          <w:tblCellMar>
            <w:top w:w="0" w:type="dxa"/>
            <w:bottom w:w="0" w:type="dxa"/>
          </w:tblCellMar>
        </w:tblPrEx>
        <w:trPr>
          <w:cantSplit/>
        </w:trPr>
        <w:tc>
          <w:tcPr>
            <w:tcW w:w="99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A change in what the model optimizes for.</w:t>
            </w:r>
          </w:p>
        </w:tc>
      </w:tr>
      <w:tr>
        <w:tblPrEx>
          <w:tblCellMar>
            <w:top w:w="0" w:type="dxa"/>
            <w:bottom w:w="0" w:type="dxa"/>
          </w:tblCellMar>
        </w:tblPrEx>
        <w:trPr>
          <w:cantSplit/>
        </w:trPr>
        <w:tc>
          <w:tcPr>
            <w:tcW w:w="99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Expansion into a market under different law.</w:t>
            </w:r>
          </w:p>
        </w:tc>
      </w:tr>
      <w:tr>
        <w:tblPrEx>
          <w:tblCellMar>
            <w:top w:w="0" w:type="dxa"/>
            <w:bottom w:w="0" w:type="dxa"/>
          </w:tblCellMar>
        </w:tblPrEx>
        <w:trPr>
          <w:cantSplit/>
        </w:trPr>
        <w:tc>
          <w:tcPr>
            <w:tcW w:w="99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Any occasion when the stop was used in earnest.</w:t>
            </w:r>
          </w:p>
        </w:tc>
      </w:tr>
    </w:tbl>
    <w:p>
      <w:pPr>
        <w:spacing w:before="60" w:after="100" w:line="276" w:lineRule="auto"/>
      </w:pPr>
      <w:r>
        <w:rPr>
          <w:i/>
          <w:iCs/>
          <w:color w:val="6B6461"/>
          <w:sz w:val="17"/>
          <w:szCs w:val="17"/>
        </w:rPr>
        <w:t>Put these triggers in the operating contract, so that reopening a gate is ordinary work, raised without accusing anyone.</w:t>
      </w:r>
    </w:p>
    <w:p>
      <w:pPr>
        <w:spacing w:after="2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600"/>
        <w:gridCol w:w="600"/>
        <w:gridCol w:w="3306"/>
      </w:tblGrid>
      <w:tr>
        <w:tblPrEx>
          <w:tblCellMar>
            <w:top w:w="0" w:type="dxa"/>
            <w:bottom w:w="0" w:type="dxa"/>
          </w:tblCellMar>
        </w:tblPrEx>
        <w:trPr>
          <w:cantSplit/>
          <w:trHeight w:val="420"/>
        </w:trPr>
        <w:tc>
          <w:tcPr>
            <w:tcW w:w="14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Authorized by</w:t>
            </w:r>
          </w:p>
        </w:tc>
        <w:tc>
          <w:tcPr>
            <w:tcW w:w="4600"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c>
          <w:tcPr>
            <w:tcW w:w="6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Date</w:t>
            </w:r>
          </w:p>
        </w:tc>
        <w:tc>
          <w:tcPr>
            <w:tcW w:w="3306"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r>
    </w:tbl>
    <w:p/>
    <w:sectPr>
      <w:footerReference w:type="default" r:id="rId7"/>
      <w:pgSz w:w="11906" w:h="16838"/>
      <w:pgMar w:top="900" w:right="1000" w:bottom="900" w:left="1000" w:header="708"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Bdr>
        <w:top w:val="single" w:sz="4" w:space="6" w:color="D6D0C8"/>
      </w:pBdr>
    </w:pPr>
    <w:r>
      <w:rPr>
        <w:color w:val="6B6461"/>
        <w:sz w:val="15"/>
        <w:szCs w:val="15"/>
      </w:rPr>
      <w:t xml:space="preserve">From </w:t>
    </w:r>
    <w:r>
      <w:rPr>
        <w:i/>
        <w:iCs/>
        <w:color w:val="6B6461"/>
        <w:sz w:val="15"/>
        <w:szCs w:val="15"/>
      </w:rPr>
      <w:t>Confidently Wrong</w:t>
    </w:r>
    <w:r>
      <w:rPr>
        <w:color w:val="6B6461"/>
        <w:sz w:val="15"/>
        <w:szCs w:val="15"/>
      </w:rPr>
      <w:t xml:space="preserve">  ·  theconfidentlywrong.com  ·  Free to use inside your organization</w:t>
    </w:r>
    <w:r>
      <w:rPr>
        <w:color w:val="6B6461"/>
        <w:sz w:val="15"/>
        <w:szCs w:val="15"/>
      </w:rPr>
      <w:ptab w:relativeTo="margin" w:alignment="right" w:leader="none"/>
    </w:r>
    <w:r>
      <w:rPr>
        <w:color w:val="6B6461"/>
        <w:sz w:val="15"/>
        <w:szCs w:val="15"/>
      </w:rPr>
      <w:fldChar w:fldCharType="begin"/>
    </w:r>
    <w:r>
      <w:rPr>
        <w:color w:val="6B6461"/>
        <w:sz w:val="15"/>
        <w:szCs w:val="15"/>
      </w:rPr>
      <w:instrText>PAGE</w:instrText>
    </w:r>
    <w:r>
      <w:rPr>
        <w:color w:val="6B6461"/>
        <w:sz w:val="15"/>
        <w:szCs w:val="15"/>
      </w:rPr>
      <w:fldChar w:fldCharType="separate"/>
    </w:r>
    <w:r>
      <w:rPr>
        <w:noProof/>
        <w:color w:val="6B6461"/>
        <w:sz w:val="15"/>
        <w:szCs w:val="15"/>
      </w:rPr>
      <w:t>1</w:t>
    </w:r>
    <w:r>
      <w:rPr>
        <w:color w:val="6B6461"/>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3646C"/>
    <w:multiLevelType w:val="hybridMultilevel"/>
    <w:tmpl w:val="95426D40"/>
    <w:lvl w:ilvl="0" w:tplc="BEF68510">
      <w:start w:val="1"/>
      <w:numFmt w:val="bullet"/>
      <w:lvlText w:val="●"/>
      <w:lvlJc w:val="left"/>
      <w:pPr>
        <w:ind w:left="720" w:hanging="360"/>
      </w:pPr>
    </w:lvl>
    <w:lvl w:ilvl="1" w:tplc="493E5298">
      <w:start w:val="1"/>
      <w:numFmt w:val="bullet"/>
      <w:lvlText w:val="○"/>
      <w:lvlJc w:val="left"/>
      <w:pPr>
        <w:ind w:left="1440" w:hanging="360"/>
      </w:pPr>
    </w:lvl>
    <w:lvl w:ilvl="2" w:tplc="194E3F88">
      <w:start w:val="1"/>
      <w:numFmt w:val="bullet"/>
      <w:lvlText w:val="■"/>
      <w:lvlJc w:val="left"/>
      <w:pPr>
        <w:ind w:left="2160" w:hanging="360"/>
      </w:pPr>
    </w:lvl>
    <w:lvl w:ilvl="3" w:tplc="D9564126">
      <w:start w:val="1"/>
      <w:numFmt w:val="bullet"/>
      <w:lvlText w:val="●"/>
      <w:lvlJc w:val="left"/>
      <w:pPr>
        <w:ind w:left="2880" w:hanging="360"/>
      </w:pPr>
    </w:lvl>
    <w:lvl w:ilvl="4" w:tplc="DABE2C80">
      <w:start w:val="1"/>
      <w:numFmt w:val="bullet"/>
      <w:lvlText w:val="○"/>
      <w:lvlJc w:val="left"/>
      <w:pPr>
        <w:ind w:left="3600" w:hanging="360"/>
      </w:pPr>
    </w:lvl>
    <w:lvl w:ilvl="5" w:tplc="92FAFFEE">
      <w:start w:val="1"/>
      <w:numFmt w:val="bullet"/>
      <w:lvlText w:val="■"/>
      <w:lvlJc w:val="left"/>
      <w:pPr>
        <w:ind w:left="4320" w:hanging="360"/>
      </w:pPr>
    </w:lvl>
    <w:lvl w:ilvl="6" w:tplc="0A04ADEC">
      <w:start w:val="1"/>
      <w:numFmt w:val="bullet"/>
      <w:lvlText w:val="●"/>
      <w:lvlJc w:val="left"/>
      <w:pPr>
        <w:ind w:left="5040" w:hanging="360"/>
      </w:pPr>
    </w:lvl>
    <w:lvl w:ilvl="7" w:tplc="E98C390A">
      <w:start w:val="1"/>
      <w:numFmt w:val="bullet"/>
      <w:lvlText w:val="●"/>
      <w:lvlJc w:val="left"/>
      <w:pPr>
        <w:ind w:left="5760" w:hanging="360"/>
      </w:pPr>
    </w:lvl>
    <w:lvl w:ilvl="8" w:tplc="C6764448">
      <w:start w:val="1"/>
      <w:numFmt w:val="bullet"/>
      <w:lvlText w:val="●"/>
      <w:lvlJc w:val="left"/>
      <w:pPr>
        <w:ind w:left="6480" w:hanging="360"/>
      </w:pPr>
    </w:lvl>
  </w:abstractNum>
  <w:num w:numId="1" w16cid:durableId="161332425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removePersonalInformation/>
  <w:removeDateAndTime/>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E2B2B"/>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738</Words>
  <Characters>3561</Characters>
  <Application>Microsoft Office Word</Application>
  <DocSecurity>0</DocSecurity>
  <Lines>142</Lines>
  <Paragraphs>81</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2026-01-01T00:00:00Z</dcterms:created>
  <dcterms:modified xsi:type="dcterms:W3CDTF">2026-01-01T00:00:00Z</dcterms:modified>
</cp:coreProperties>
</file>