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4.jpg" ContentType="image/jpeg"/>
  <Override PartName="/word/media/rId30.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r>
        <w:t xml:space="preserve">Costs for dengue burden in Puerto Rico</w:t>
      </w:r>
    </w:p>
    <w:tbl>
      <w:tblPr>
        <w:tblStyle w:val="Table"/>
        <w:tblW w:type="pct" w:w="0.0"/>
        <w:tblLook w:firstRow="1"/>
        <w:tblCaption w:val="Costs for dengue burden in Puerto Rico"/>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Cost (USD)</w:t>
            </w:r>
          </w:p>
        </w:tc>
        <w:tc>
          <w:tcPr>
            <w:tcBorders>
              <w:bottom w:val="single"/>
            </w:tcBorders>
            <w:vAlign w:val="bottom"/>
          </w:tcPr>
          <w:p>
            <w:pPr>
              <w:pStyle w:val="Compact"/>
              <w:jc w:val="right"/>
            </w:pPr>
            <w:r>
              <w:t xml:space="preserve">Cost Projected (2019 USD)</w:t>
            </w:r>
          </w:p>
        </w:tc>
      </w:tr>
      <w:tr>
        <w:tc>
          <w:p>
            <w:pPr>
              <w:pStyle w:val="Compact"/>
              <w:jc w:val="left"/>
            </w:pPr>
            <w:r>
              <w:t xml:space="preserve">Ambulatory</w:t>
            </w:r>
          </w:p>
        </w:tc>
        <w:tc>
          <w:p>
            <w:pPr>
              <w:pStyle w:val="Compact"/>
              <w:jc w:val="left"/>
            </w:pPr>
            <w:r>
              <w:t xml:space="preserve">239 (2010)</w:t>
            </w:r>
          </w:p>
        </w:tc>
        <w:tc>
          <w:p>
            <w:pPr>
              <w:pStyle w:val="Compact"/>
              <w:jc w:val="right"/>
            </w:pPr>
            <w:r>
              <w:t xml:space="preserve">311</w:t>
            </w:r>
          </w:p>
        </w:tc>
      </w:tr>
      <w:tr>
        <w:tc>
          <w:p>
            <w:pPr>
              <w:pStyle w:val="Compact"/>
              <w:jc w:val="left"/>
            </w:pPr>
            <w:r>
              <w:t xml:space="preserve">Hospitalization</w:t>
            </w:r>
          </w:p>
        </w:tc>
        <w:tc>
          <w:p>
            <w:pPr>
              <w:pStyle w:val="Compact"/>
              <w:jc w:val="left"/>
            </w:pPr>
            <w:r>
              <w:t xml:space="preserve">1615 (2010)</w:t>
            </w:r>
          </w:p>
        </w:tc>
        <w:tc>
          <w:p>
            <w:pPr>
              <w:pStyle w:val="Compact"/>
              <w:jc w:val="right"/>
            </w:pPr>
            <w:r>
              <w:t xml:space="preserve">2107</w:t>
            </w:r>
          </w:p>
        </w:tc>
      </w:tr>
      <w:tr>
        <w:tc>
          <w:p>
            <w:pPr>
              <w:pStyle w:val="Compact"/>
              <w:jc w:val="left"/>
            </w:pPr>
            <w:r>
              <w:t xml:space="preserve">GDP per-Capita</w:t>
            </w:r>
          </w:p>
        </w:tc>
        <w:tc>
          <w:p>
            <w:pPr>
              <w:pStyle w:val="Compact"/>
              <w:jc w:val="left"/>
            </w:pPr>
            <w:r>
              <w:t xml:space="preserve">30,833 (2016)</w:t>
            </w:r>
          </w:p>
        </w:tc>
        <w:tc>
          <w:p>
            <w:pPr>
              <w:pStyle w:val="Compact"/>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[eq-ICER]</w:t>
        </w:r>
      </w:hyperlink>
      <w:r>
        <w:t xml:space="preserve">. As others have, we deemed the intervention cost-effective if the ICER was below 3 GDP per-Capita, and very cost-effective if the ICER fell below 1 GDP per-Capita. We assumed a baseline scenario of costs.</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oMath>
      </m:oMathPara>
    </w:p>
    <w:p>
      <w:pPr>
        <w:pStyle w:val="Heading1"/>
      </w:pPr>
      <w:bookmarkStart w:id="22" w:name="results"/>
      <w:r>
        <w:t xml:space="preserve">Results</w:t>
      </w:r>
      <w:bookmarkEnd w:id="22"/>
    </w:p>
    <w:p>
      <w:pPr>
        <w:pStyle w:val="Heading2"/>
      </w:pPr>
      <w:bookmarkStart w:id="23" w:name="X75c415ba5350d8a9e9e9b68d1cba40a47657e11"/>
      <w:r>
        <w:t xml:space="preserve">Epidemiological benefits from vaccination</w:t>
      </w:r>
      <w:bookmarkEnd w:id="23"/>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bookmarkStart w:id="25" w:name="fig-epi-benefits"/>
      <w:r>
        <w:drawing>
          <wp:inline>
            <wp:extent cx="5943600" cy="1404000"/>
            <wp:effectExtent b="0" l="0" r="0" t="0"/>
            <wp:docPr descr="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4"/>
                    <a:stretch>
                      <a:fillRect/>
                    </a:stretch>
                  </pic:blipFill>
                  <pic:spPr bwMode="auto">
                    <a:xfrm>
                      <a:off x="0" y="0"/>
                      <a:ext cx="5943600" cy="1404000"/>
                    </a:xfrm>
                    <a:prstGeom prst="rect">
                      <a:avLst/>
                    </a:prstGeom>
                    <a:noFill/>
                    <a:ln w="9525">
                      <a:noFill/>
                      <a:headEnd/>
                      <a:tailEnd/>
                    </a:ln>
                  </pic:spPr>
                </pic:pic>
              </a:graphicData>
            </a:graphic>
          </wp:inline>
        </w:drawing>
      </w:r>
      <w:bookmarkEnd w:id="25"/>
    </w:p>
    <w:p>
      <w:pPr>
        <w:pStyle w:val="ImageCaption"/>
      </w:pPr>
      <w:r>
        <w:t xml:space="preserve">Proportion of cases averted with pre-vaccination screening strategy with CYD-TDV over 10 years</w:t>
      </w:r>
    </w:p>
    <w:p>
      <w:pPr>
        <w:pStyle w:val="Heading2"/>
      </w:pPr>
      <w:bookmarkStart w:id="26" w:name="X29bdf90c328a6f6a3d4015d1eb9be65bc7816e7"/>
      <w:r>
        <w:t xml:space="preserve">Cost-effectiveness of pre-vaccination screening strategies</w:t>
      </w:r>
      <w:bookmarkEnd w:id="26"/>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bookmarkStart w:id="28" w:name="fig-ICER"/>
      <w:r>
        <w:drawing>
          <wp:inline>
            <wp:extent cx="4572000" cy="45720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27"/>
                    <a:stretch>
                      <a:fillRect/>
                    </a:stretch>
                  </pic:blipFill>
                  <pic:spPr bwMode="auto">
                    <a:xfrm>
                      <a:off x="0" y="0"/>
                      <a:ext cx="4572000" cy="4572000"/>
                    </a:xfrm>
                    <a:prstGeom prst="rect">
                      <a:avLst/>
                    </a:prstGeom>
                    <a:noFill/>
                    <a:ln w="9525">
                      <a:noFill/>
                      <a:headEnd/>
                      <a:tailEnd/>
                    </a:ln>
                  </pic:spPr>
                </pic:pic>
              </a:graphicData>
            </a:graphic>
          </wp:inline>
        </w:drawing>
      </w:r>
      <w:bookmarkEnd w:id="28"/>
    </w:p>
    <w:p>
      <w:pPr>
        <w:pStyle w:val="ImageCaption"/>
      </w:pPr>
      <w:r>
        <w:t xml:space="preserve">ICER of pre-vaccination screening strategy in Puerto Rico at different cost of vaccination (3 doses per person).</w:t>
      </w:r>
    </w:p>
    <w:p>
      <w:pPr>
        <w:pStyle w:val="Heading2"/>
      </w:pPr>
      <w:bookmarkStart w:id="29" w:name="tornado-diagram-and-sensitivity-analysis"/>
      <w:r>
        <w:t xml:space="preserve">Tornado diagram and sensitivity analysis</w:t>
      </w:r>
      <w:bookmarkEnd w:id="29"/>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[table-tornado]</w:t>
        </w:r>
      </w:hyperlink>
      <w:r>
        <w:t xml:space="preserve">. This sensitivity analysis shows that the specificity of the test greatly affects the cost-effectiveness of the intervention.</w:t>
      </w:r>
    </w:p>
    <w:p>
      <w:pPr>
        <w:pStyle w:val="CaptionedFigure"/>
      </w:pPr>
      <w:bookmarkStart w:id="31" w:name="fig-tornado"/>
      <w:r>
        <w:drawing>
          <wp:inline>
            <wp:extent cx="5943600" cy="29718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bookmarkEnd w:id="31"/>
    </w:p>
    <w:p>
      <w:pPr>
        <w:pStyle w:val="ImageCaption"/>
      </w:pPr>
      <w:r>
        <w:t xml:space="preserve">ICER of pre-vaccination screening strategy in Puerto Rico at different cost of vaccination (3 doses per person).</w:t>
      </w:r>
    </w:p>
    <w:p>
      <w:pPr>
        <w:pStyle w:val="TableCaption"/>
      </w:pPr>
      <w:r>
        <w:t xml:space="preserve">Sensitivity analysis of cost-effectiveness</w:t>
      </w:r>
    </w:p>
    <w:tbl>
      <w:tblPr>
        <w:tblStyle w:val="Table"/>
        <w:tblW w:type="pct" w:w="0.0"/>
        <w:tblLook w:firstRow="1"/>
        <w:tblCaption w:val="Sensitivity analysis of cost-effectivenes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ICER_min</w:t>
            </w:r>
          </w:p>
        </w:tc>
        <w:tc>
          <w:tcPr>
            <w:tcBorders>
              <w:bottom w:val="single"/>
            </w:tcBorders>
            <w:vAlign w:val="bottom"/>
          </w:tcPr>
          <w:p>
            <w:pPr>
              <w:pStyle w:val="Compact"/>
              <w:jc w:val="right"/>
            </w:pPr>
            <w:r>
              <w:t xml:space="preserve">ICER_max</w:t>
            </w:r>
          </w:p>
        </w:tc>
        <w:tc>
          <w:tcPr>
            <w:tcBorders>
              <w:bottom w:val="single"/>
            </w:tcBorders>
            <w:vAlign w:val="bottom"/>
          </w:tcPr>
          <w:p>
            <w:pPr>
              <w:pStyle w:val="Compact"/>
              <w:jc w:val="right"/>
            </w:pPr>
            <w:r>
              <w:t xml:space="preserve">ICER_default</w:t>
            </w:r>
          </w:p>
        </w:tc>
        <w:tc>
          <w:tcPr>
            <w:tcBorders>
              <w:bottom w:val="single"/>
            </w:tcBorders>
            <w:vAlign w:val="bottom"/>
          </w:tcPr>
          <w:p>
            <w:pPr>
              <w:pStyle w:val="Compact"/>
              <w:jc w:val="right"/>
            </w:pPr>
            <w:r>
              <w:t xml:space="preserve">GDP</w:t>
            </w:r>
          </w:p>
        </w:tc>
      </w:tr>
      <w:tr>
        <w:tc>
          <w:p>
            <w:pPr>
              <w:pStyle w:val="Compact"/>
              <w:jc w:val="left"/>
            </w:pPr>
            <w:r>
              <w:t xml:space="preserve">Sensitivity</w:t>
            </w:r>
          </w:p>
        </w:tc>
        <w:tc>
          <w:p>
            <w:pPr>
              <w:pStyle w:val="Compact"/>
              <w:jc w:val="right"/>
            </w:pPr>
            <w:r>
              <w:t xml:space="preserve">0.50</w:t>
            </w:r>
          </w:p>
        </w:tc>
        <w:tc>
          <w:p>
            <w:pPr>
              <w:pStyle w:val="Compact"/>
              <w:jc w:val="right"/>
            </w:pPr>
            <w:r>
              <w:t xml:space="preserve">1.00</w:t>
            </w:r>
          </w:p>
        </w:tc>
        <w:tc>
          <w:p>
            <w:pPr>
              <w:pStyle w:val="Compact"/>
              <w:jc w:val="right"/>
            </w:pPr>
            <w:r>
              <w:t xml:space="preserve">32622.40</w:t>
            </w:r>
          </w:p>
        </w:tc>
        <w:tc>
          <w:p>
            <w:pPr>
              <w:pStyle w:val="Compact"/>
              <w:jc w:val="right"/>
            </w:pPr>
            <w:r>
              <w:t xml:space="preserve">18452.13</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SP9</w:t>
            </w:r>
          </w:p>
        </w:tc>
        <w:tc>
          <w:p>
            <w:pPr>
              <w:pStyle w:val="Compact"/>
              <w:jc w:val="right"/>
            </w:pPr>
            <w:r>
              <w:t xml:space="preserve">0.25</w:t>
            </w:r>
          </w:p>
        </w:tc>
        <w:tc>
          <w:p>
            <w:pPr>
              <w:pStyle w:val="Compact"/>
              <w:jc w:val="right"/>
            </w:pPr>
            <w:r>
              <w:t xml:space="preserve">0.75</w:t>
            </w:r>
          </w:p>
        </w:tc>
        <w:tc>
          <w:p>
            <w:pPr>
              <w:pStyle w:val="Compact"/>
              <w:jc w:val="right"/>
            </w:pPr>
            <w:r>
              <w:t xml:space="preserve">69042.20</w:t>
            </w:r>
          </w:p>
        </w:tc>
        <w:tc>
          <w:p>
            <w:pPr>
              <w:pStyle w:val="Compact"/>
              <w:jc w:val="right"/>
            </w:pPr>
            <w:r>
              <w:t xml:space="preserve">9161.02</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Specificity</w:t>
            </w:r>
          </w:p>
        </w:tc>
        <w:tc>
          <w:p>
            <w:pPr>
              <w:pStyle w:val="Compact"/>
              <w:jc w:val="right"/>
            </w:pPr>
            <w:r>
              <w:t xml:space="preserve">0.50</w:t>
            </w:r>
          </w:p>
        </w:tc>
        <w:tc>
          <w:p>
            <w:pPr>
              <w:pStyle w:val="Compact"/>
              <w:jc w:val="right"/>
            </w:pPr>
            <w:r>
              <w:t xml:space="preserve">1.00</w:t>
            </w:r>
          </w:p>
        </w:tc>
        <w:tc>
          <w:p>
            <w:pPr>
              <w:pStyle w:val="Compact"/>
              <w:jc w:val="right"/>
            </w:pPr>
            <w:r>
              <w:t xml:space="preserve">131214.40</w:t>
            </w:r>
          </w:p>
        </w:tc>
        <w:tc>
          <w:p>
            <w:pPr>
              <w:pStyle w:val="Compact"/>
              <w:jc w:val="right"/>
            </w:pPr>
            <w:r>
              <w:t xml:space="preserve">17682.60</w:t>
            </w:r>
          </w:p>
        </w:tc>
        <w:tc>
          <w:p>
            <w:pPr>
              <w:pStyle w:val="Compact"/>
              <w:jc w:val="right"/>
            </w:pPr>
            <w:r>
              <w:t xml:space="preserve">22012.70</w:t>
            </w:r>
          </w:p>
        </w:tc>
        <w:tc>
          <w:p>
            <w:pPr>
              <w:pStyle w:val="Compact"/>
              <w:jc w:val="right"/>
            </w:pPr>
            <w:r>
              <w:t xml:space="preserve">31364.60</w:t>
            </w:r>
          </w:p>
        </w:tc>
      </w:tr>
      <w:tr>
        <w:tc>
          <w:p>
            <w:pPr>
              <w:pStyle w:val="Compact"/>
              <w:jc w:val="left"/>
            </w:pPr>
            <w:r>
              <w:t xml:space="preserve">test_cost</w:t>
            </w:r>
          </w:p>
        </w:tc>
        <w:tc>
          <w:p>
            <w:pPr>
              <w:pStyle w:val="Compact"/>
              <w:jc w:val="right"/>
            </w:pPr>
            <w:r>
              <w:t xml:space="preserve">1.00</w:t>
            </w:r>
          </w:p>
        </w:tc>
        <w:tc>
          <w:p>
            <w:pPr>
              <w:pStyle w:val="Compact"/>
              <w:jc w:val="right"/>
            </w:pPr>
            <w:r>
              <w:t xml:space="preserve">50.00</w:t>
            </w:r>
          </w:p>
        </w:tc>
        <w:tc>
          <w:p>
            <w:pPr>
              <w:pStyle w:val="Compact"/>
              <w:jc w:val="right"/>
            </w:pPr>
            <w:r>
              <w:t xml:space="preserve">13438.97</w:t>
            </w:r>
          </w:p>
        </w:tc>
        <w:tc>
          <w:p>
            <w:pPr>
              <w:pStyle w:val="Compact"/>
              <w:jc w:val="right"/>
            </w:pPr>
            <w:r>
              <w:t xml:space="preserve">60118.17</w:t>
            </w:r>
          </w:p>
        </w:tc>
        <w:tc>
          <w:p>
            <w:pPr>
              <w:pStyle w:val="Compact"/>
              <w:jc w:val="right"/>
            </w:pPr>
            <w:r>
              <w:t xml:space="preserve">22012.70</w:t>
            </w:r>
          </w:p>
        </w:tc>
        <w:tc>
          <w:p>
            <w:pPr>
              <w:pStyle w:val="Compact"/>
              <w:jc w:val="right"/>
            </w:pPr>
            <w:r>
              <w:t xml:space="preserve">31364.60</w:t>
            </w:r>
          </w:p>
        </w:tc>
      </w:tr>
      <w:tr>
        <w:tc>
          <w:p>
            <w:pPr>
              <w:pStyle w:val="Compact"/>
              <w:jc w:val="left"/>
            </w:pPr>
            <w:r>
              <w:t xml:space="preserve">vax_cost</w:t>
            </w:r>
          </w:p>
        </w:tc>
        <w:tc>
          <w:p>
            <w:pPr>
              <w:pStyle w:val="Compact"/>
              <w:jc w:val="right"/>
            </w:pPr>
            <w:r>
              <w:t xml:space="preserve">10.00</w:t>
            </w:r>
          </w:p>
        </w:tc>
        <w:tc>
          <w:p>
            <w:pPr>
              <w:pStyle w:val="Compact"/>
              <w:jc w:val="right"/>
            </w:pPr>
            <w:r>
              <w:t xml:space="preserve">250.00</w:t>
            </w:r>
          </w:p>
        </w:tc>
        <w:tc>
          <w:p>
            <w:pPr>
              <w:pStyle w:val="Compact"/>
              <w:jc w:val="right"/>
            </w:pPr>
            <w:r>
              <w:t xml:space="preserve">-2279.54</w:t>
            </w:r>
          </w:p>
        </w:tc>
        <w:tc>
          <w:p>
            <w:pPr>
              <w:pStyle w:val="Compact"/>
              <w:jc w:val="right"/>
            </w:pPr>
            <w:r>
              <w:t xml:space="preserve">94889.41</w:t>
            </w:r>
          </w:p>
        </w:tc>
        <w:tc>
          <w:p>
            <w:pPr>
              <w:pStyle w:val="Compact"/>
              <w:jc w:val="right"/>
            </w:pPr>
            <w:r>
              <w:t xml:space="preserve">22012.70</w:t>
            </w:r>
          </w:p>
        </w:tc>
        <w:tc>
          <w:p>
            <w:pPr>
              <w:pStyle w:val="Compact"/>
              <w:jc w:val="right"/>
            </w:pPr>
            <w:r>
              <w:t xml:space="preserve">31364.60</w:t>
            </w:r>
          </w:p>
        </w:tc>
      </w:tr>
    </w:tbl>
    <w:p>
      <w:pPr>
        <w:pStyle w:val="Heading1"/>
      </w:pPr>
      <w:bookmarkStart w:id="32" w:name="discussion"/>
      <w:r>
        <w:t xml:space="preserve">Discussion</w:t>
      </w:r>
      <w:bookmarkEnd w:id="32"/>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bookmarkStart w:id="40" w:name="refs"/>
    <w:bookmarkStart w:id="34"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3">
        <w:r>
          <w:rPr>
            <w:rStyle w:val="Hyperlink"/>
          </w:rPr>
          <w:t xml:space="preserve">10.1056/NEJMoa1800820</w:t>
        </w:r>
      </w:hyperlink>
    </w:p>
    <w:bookmarkEnd w:id="34"/>
    <w:bookmarkStart w:id="35" w:name="ref-WHO2018"/>
    <w:p>
      <w:pPr>
        <w:pStyle w:val="Bibliography"/>
      </w:pPr>
      <w:r>
        <w:t xml:space="preserve">2. World Health Organization. Revised SAGE recommendation on use of dengue vaccine. 2018;</w:t>
      </w:r>
      <w:r>
        <w:t xml:space="preserve"> </w:t>
      </w:r>
    </w:p>
    <w:bookmarkEnd w:id="35"/>
    <w:bookmarkStart w:id="37"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6">
        <w:r>
          <w:rPr>
            <w:rStyle w:val="Hyperlink"/>
          </w:rPr>
          <w:t xml:space="preserve">10.1101/367060</w:t>
        </w:r>
      </w:hyperlink>
    </w:p>
    <w:bookmarkEnd w:id="37"/>
    <w:bookmarkStart w:id="38" w:name="ref-Halasa2012"/>
    <w:p>
      <w:pPr>
        <w:pStyle w:val="Bibliography"/>
      </w:pPr>
      <w:r>
        <w:t xml:space="preserve">4. Halasa YA, Shepard DS, Zeng W. Economic cost of dengue in Puerto Rico. The American journal of tropical medicine and hygiene. ASTMH; 2012;86: 745–752.</w:t>
      </w:r>
      <w:r>
        <w:t xml:space="preserve"> </w:t>
      </w:r>
    </w:p>
    <w:bookmarkEnd w:id="38"/>
    <w:bookmarkStart w:id="39" w:name="ref-worldbank2016"/>
    <w:p>
      <w:pPr>
        <w:pStyle w:val="Bibliography"/>
      </w:pPr>
      <w:r>
        <w:t xml:space="preserve">5. World Bank. GDP per capita. 2016;</w:t>
      </w:r>
      <w:r>
        <w:t xml:space="preserve"> </w:t>
      </w:r>
    </w:p>
    <w:bookmarkEnd w:id="39"/>
    <w:bookmarkEnd w:id="40"/>
    <w:sectPr w:rsidR="000636C0" w:rsidRPr="00C20F1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E6B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EA28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D461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961B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0CB1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5A50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20F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D0E6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22DB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289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64B18"/>
    <w:pPr>
      <w:keepNext/>
      <w:keepLines/>
      <w:spacing w:before="480" w:after="0" w:line="360" w:lineRule="auto"/>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464B18"/>
    <w:pPr>
      <w:keepNext/>
      <w:keepLines/>
      <w:spacing w:before="200" w:after="0" w:line="360" w:lineRule="auto"/>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464B18"/>
    <w:pPr>
      <w:spacing w:line="360" w:lineRule="auto"/>
    </w:pPr>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464B18"/>
    <w:pPr>
      <w:spacing w:line="360" w:lineRule="auto"/>
    </w:pPr>
    <w:rPr>
      <w:rFonts w:ascii="Times New Roman" w:hAnsi="Times New Roman" w:cs="Times New Roman"/>
      <w:b/>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464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4" Target="media/rId24.jpg" /><Relationship Type="http://schemas.openxmlformats.org/officeDocument/2006/relationships/image" Id="rId30" Target="media/rId30.jpg" /><Relationship Type="http://schemas.openxmlformats.org/officeDocument/2006/relationships/hyperlink" Id="rId33" Target="https://doi.org/10.1056/NEJMoa1800820" TargetMode="External" /><Relationship Type="http://schemas.openxmlformats.org/officeDocument/2006/relationships/hyperlink" Id="rId36" Target="https://doi.org/10.1101/367060" TargetMode="External" /></Relationships>
</file>

<file path=word/_rels/footnotes.xml.rels><?xml version="1.0" encoding="UTF-8"?>
<Relationships xmlns="http://schemas.openxmlformats.org/package/2006/relationships"><Relationship Type="http://schemas.openxmlformats.org/officeDocument/2006/relationships/hyperlink" Id="rId33" Target="https://doi.org/10.1056/NEJMoa1800820" TargetMode="External" /><Relationship Type="http://schemas.openxmlformats.org/officeDocument/2006/relationships/hyperlink" Id="rId36" Target="https://doi.org/10.1101/3670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2019-04-19T19:25:46Z</dcterms:created>
  <dcterms:modified xsi:type="dcterms:W3CDTF">2019-04-19T19:25:46Z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ies>
</file>