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pPr>
        <w:pStyle w:val="Heading1"/>
      </w:pPr>
      <w:r>
        <w:rPr>
          <w:b/>
        </w:rPr>
        <w:t>Chapter 4: Finding the Referent</w:t>
      </w:r>
    </w:p>
    <w:p w14:paraId="7B46A60B" w14:textId="77777777" w:rsidR="00846596" w:rsidRDefault="00846596">
      <w:pPr>
        <w:pStyle w:val="Heading2"/>
      </w:pPr>
      <w:r>
        <w:t>4.1 Introduction</w:t>
      </w:r>
    </w:p>
    <w:p w14:paraId="1BFD759D" w14:textId="77777777" w:rsidR="00846596" w:rsidRDefault="00846596">
      <w:pPr>
        <w:jc w:val="both"/>
      </w:pPr>
      <w:r>
        <w:t>The preceding three chapters have established the philosophical foundations on which social research rests: that social reality exists independently of our knowledge of it, that it is stratified into domains of the empirical, actual, and real, and that its constitution involves emergent causal powers that cannot be adequately captured by regularity theories of causation alone. What those foundations leave open are the substantive social ontological questions that must be confronted by any research design that takes the social world seriously. This chapter prepares the analytical ground for the four debates that constitute Part II. Section 4.2 introduces the object of research as the referent that governs the investigation, and develops the trench and library stacks heuristics as tools for understanding what adequate research design requires. Section 4.3 introduces research problematics and research problems as distinct analytical categories and examines the relationship between them. Section 4.4 introduces the four social ontological debates and develops the logic through which they relate to one another. Section 4.5 addresses the epistemological status of ontological situating: it is a systematic but fallible and revisable heuristic, and understanding it as such is a condition of using it honestly.</w:t>
      </w:r>
    </w:p>
    <w:p>
      <w:pPr>
        <w:pStyle w:val="Heading2"/>
      </w:pPr>
      <w:r>
        <w:t>4.2 The Object as Referent in Research</w:t>
      </w:r>
    </w:p>
    <w:p>
      <w:pPr/>
      <w:r>
        <w:t>Every research project requires an object of reference: an aspect of social reality that the investigation is designed to reach, about which it aims to produce genuine knowledge. Identifying the object is not the same as choosing a topic. A topic names an area of interest; the object specifies what aspect of social reality within that area the research must be capable of reaching in order to address the puzzle the topic surfaces. This distinction matters because the adequacy of every subsequent decision in the research process, about what questions to ask, what theoretical resources to draw on, what methods to employ, is determined by whether it is adequate to the real object rather than merely adequate to the topic as conventionally delimited.</w:t>
      </w:r>
    </w:p>
    <w:p>
      <w:pPr/>
      <w:r>
        <w:t>Two spatial metaphors clarify what identifying the object of research requires and how the existing literature relates to it. The first is the trench. Every real phenomenon has a structure resembling a deep trench. At the surface, the space is wide: many different empirical descriptions of the phenomenon are plausible and potentially consistent with the available evidence. This corresponds to what Bhaskar calls the domain of the empirical, what has been observed, recorded, and rendered as data. Moving deeper, toward the domain of the actual, where mechanisms have operated and left traces, and further toward the domain of the real, where the generative structures reside, the trench narrows. Fewer answers are adequate to what is actually going on at that depth. At the bottom, the real mechanisms are constrained: not many different causal structures will do. The bottom is never directly accessible; it is approached through retroduction, through asking what must exist for the observed patterns to be possible, what structures must be in place for these events to occur. The researcher's task is to work downward from the wide empirical surface toward the constrained mechanism-specifying depth, and the research object is what the trench contains at the depth the investigation must reach.</w:t>
      </w:r>
    </w:p>
    <w:p>
      <w:pPr/>
      <w:r>
        <w:t>The second metaphor is the library stacks. The existing literature relevant to a research domain is like a vast library, organised by epistemological tradition and disciplinary convention. A skilled researcher navigates these stacks guided by their understanding of the real object under study, by their best current retroductive inference about what is actually going on. They know which sections of the library are most likely to illuminate the mechanisms they are investigating, even if those sections are not the most heavily populated. Different epistemological traditions constitute different sections of the library, each reaching and making accessible different aspects of the same underlying real. A researcher trained within a single tradition may probe sections of the library that are distant from the real mechanisms of their object without knowing it. The two metaphors together characterise what constituting the research object requires: tracing the trench to the depth the investigation must reach, and navigating the library toward the sections adequate to what is at that depth.</w:t>
      </w:r>
    </w:p>
    <w:p>
      <w:pPr/>
      <w:r>
        <w:t>These two metaphors establish the structure of the remaining analytical work in this chapter. The research problem identifies what the trench contains and how deep the investigation must go. The research question asks something answerable given the depth identified. The four social ontological debates provide the analytical vocabulary for specifying what the trench contains at each level and for navigating the library stacks toward the sections most adequate to the real object.</w:t>
      </w:r>
    </w:p>
    <w:p w14:paraId="7D3EE09E" w14:textId="77777777" w:rsidR="006F77F7" w:rsidRPr="00C52464" w:rsidRDefault="00FB6DDC">
      <w:pPr>
        <w:pStyle w:val="Heading2"/>
        <w:ind w:left="-5"/>
        <w:rPr>
          <w:lang w:val="en-CA"/>
        </w:rPr>
      </w:pPr>
      <w:r>
        <w:t>4.3 Research Problematics, Problems, and Research Questions</w:t>
      </w:r>
    </w:p>
    <w:p w14:paraId="703C0B80" w14:textId="77777777" w:rsidR="006F77F7" w:rsidRPr="00C52464" w:rsidRDefault="00FB6DDC">
      <w:pPr>
        <w:ind w:left="-5"/>
        <w:rPr>
          <w:lang w:val="en-CA"/>
        </w:rPr>
      </w:pPr>
      <w:r>
        <w:rPr>
          <w:lang w:val="en-CA"/>
        </w:rPr>
        <w:t>Before examining how ontological analysis applies to specific research contexts, we must clarify a fundamental distinction that shapes how inquiry develops and how research questions should be understood. This distinction between problematics and problems illuminates why research should be seen as ongoing dialectical process rather than as linear progression from hypothesis to findings, and why ontological awareness enhances rather than constrains theoretical innovation.</w:t>
      </w:r>
    </w:p>
    <w:p w14:paraId="4A922250" w14:textId="77777777" w:rsidR="006F77F7" w:rsidRPr="00C52464" w:rsidRDefault="00FB6DDC">
      <w:pPr>
        <w:ind w:left="-5"/>
        <w:rPr>
          <w:lang w:val="en-CA"/>
        </w:rPr>
      </w:pPr>
      <w:r>
        <w:rPr>
          <w:lang w:val="en-CA"/>
        </w:rPr>
        <w:t xml:space="preserve">The concepts of problematics and problems, while used in various ways across philosophical traditions, gain particular analytical power when understood through their development in critical social theory. Louis Althusser (1970) developed the concept of </w:t>
      </w:r>
      <w:r>
        <w:rPr>
          <w:b/>
          <w:lang w:val="en-CA"/>
        </w:rPr>
        <w:t>problematic</w:t>
      </w:r>
      <w:r>
        <w:rPr>
          <w:lang w:val="en-CA"/>
        </w:rPr>
        <w:t xml:space="preserve"> to describe the underlying framework of questions, concepts, and assumptions structuring inquiry within particular theoretical traditions. A problematic consists not simply of explicit questions but of the deeper framework determining what questions can be meaningfully asked and what answers appear possible. Thomas Kuhn's (1962) notion of </w:t>
      </w:r>
      <w:r>
        <w:rPr>
          <w:b/>
          <w:lang w:val="en-CA"/>
        </w:rPr>
        <w:t>paradigms</w:t>
      </w:r>
      <w:r>
        <w:rPr>
          <w:lang w:val="en-CA"/>
        </w:rPr>
        <w:t>, while developed independently, addresses related concerns about how scientific communities share frameworks determining legitimate questions, appropriate methods, and criteria for acceptable solutions. While these approaches differ in important respects, they share recognition that inquiry operates within frameworks that both enable and constrain particular lines of investigation.</w:t>
      </w:r>
    </w:p>
    <w:p w14:paraId="633B37CB" w14:textId="5BD4D20C" w:rsidR="006F77F7" w:rsidRPr="00C52464" w:rsidRDefault="00FB6DDC">
      <w:pPr>
        <w:ind w:left="-5"/>
        <w:rPr>
          <w:lang w:val="en-CA"/>
        </w:rPr>
      </w:pPr>
      <w:r>
        <w:rPr>
          <w:lang w:val="en-CA"/>
        </w:rPr>
        <w:t xml:space="preserve">Problematics operate in the transitive dimension: they represent persistent features of our theoretical frameworks for understanding social reality rather than being simply features of </w:t>
        <w:lastRenderedPageBreak/>
        <w:t xml:space="preserve">the intransitive dimension itself. While problematics respond to genuine complexities in social reality (the intransitive dimension), they reflect ongoing challenges in developing adequate theoretical specifications (the transitive dimension) that can capture those complexities. A </w:t>
      </w:r>
      <w:r>
        <w:rPr>
          <w:b/>
          <w:lang w:val="en-CA"/>
        </w:rPr>
        <w:t>research problematic</w:t>
      </w:r>
      <w:r>
        <w:rPr>
          <w:lang w:val="en-CA"/>
        </w:rPr>
        <w:t xml:space="preserve"> refers to a fundamental tension, paradox, or unresolved theoretical issue that structures inquiry within a field or tradition, providing the framework within which specific research problems are formulated and investigated. Problematics are not simply questions that can be definitively answered through empirical research but rather persistent tensions that generate ongoing investigation and debate. The individuals-groups debate itself constitutes a fundamental problematic in social research. Similarly, the structure-agency relationship constitutes a problematic because the tension between constraint and enablement, between reproduction and transformation, cannot be resolved through empirical research alone but requires sustained theoretical work on how social arrangements and human action relate through temporal and causal processes (Archer, 1995; Giddens, 1984).</w:t>
      </w:r>
    </w:p>
    <w:p w14:paraId="71D853B0" w14:textId="77777777" w:rsidR="006F77F7" w:rsidRPr="00C52464" w:rsidRDefault="00FB6DDC">
      <w:pPr>
        <w:ind w:left="-5"/>
        <w:rPr>
          <w:lang w:val="en-CA"/>
        </w:rPr>
      </w:pPr>
      <w:r>
        <w:rPr>
          <w:b/>
          <w:lang w:val="en-CA"/>
        </w:rPr>
        <w:t>Research problems</w:t>
      </w:r>
      <w:r>
        <w:rPr>
          <w:lang w:val="en-CA"/>
        </w:rPr>
        <w:t>, by contrast, refer to specific empirical puzzles, explanatory gaps, or theoretical contradictions that can potentially be addressed through systematic investigation within particular contexts. While problematics transcend specific social settings and historical periods (they structure inquiry across all social research), research problems emerge from and are specific to particular contexts being investigated. A research problem might involve explaining why educational inequality persists despite policy interventions designed to promote equality, understanding how social movements emerge and develop despite structural constraints, or identifying mechanisms through which organizational cultures influence performance outcomes. Research problems are more concrete than problematics and can potentially be resolved through theoretical development and empirical investigation, though such resolution typically generates new problems rather than eliminating underlying problematics (Laudan, 1977; Lakatos, 1978).</w:t>
      </w:r>
    </w:p>
    <w:p w14:paraId="130F8B30" w14:textId="77777777" w:rsidR="006F77F7" w:rsidRPr="00C52464" w:rsidRDefault="00FB6DDC">
      <w:pPr>
        <w:ind w:left="-5"/>
        <w:rPr>
          <w:lang w:val="en-CA"/>
        </w:rPr>
      </w:pPr>
      <w:r>
        <w:rPr>
          <w:lang w:val="en-CA"/>
        </w:rPr>
        <w:t>The relationship between problematics and problems proves crucial for understanding how research actually progresses. Research problematics provide frameworks within which specific problems become visible and meaningful: without the individuals-groups problematic, questions about whether to explain phenomena through individual characteristics, collective arrangements or both would not arise. However, problematics cannot be "solved" in the way specific research problems can be addressed. Rather, problematics persist across research traditions and historical periods, generating new research problems as understanding develops and as social conditions change. The persistence of problematics does not indicate research failure but reflects genuine complexity in social reality that cannot be eliminated through better theories or more sophisticated methods (Bhaskar, 1979; Sayer, 2000).</w:t>
      </w:r>
    </w:p>
    <w:p w14:paraId="565B7AD7" w14:textId="77777777" w:rsidR="006F77F7" w:rsidRPr="00C52464" w:rsidRDefault="00FB6DDC">
      <w:pPr>
        <w:ind w:left="-5"/>
        <w:rPr>
          <w:lang w:val="en-CA"/>
        </w:rPr>
      </w:pPr>
      <w:r>
        <w:rPr>
          <w:lang w:val="en-CA"/>
        </w:rPr>
        <w:t xml:space="preserve">Understanding this distinction helps researchers recognize why ontological analysis enhances rather than constrains research. Ontological frameworks do not provide predetermined answers to research questions but rather clarify what kinds of questions can be meaningfully asked and what approaches might adequately address them. When you recognize that educational inequality involves both individual variation and structural constraints, ontological analysis does not tell you which factor is more important or how they relate. </w:t>
        <w:lastRenderedPageBreak/>
        <w:t>Instead, it clarifies that adequate explanation requires examining both individual-level mechanisms and collective-level mechanisms while developing theoretical frameworks that can specify how these different levels interact (Archer, 1995; Danermark et al., 2002).</w:t>
      </w:r>
    </w:p>
    <w:p w14:paraId="0E84721C" w14:textId="4954AD8A" w:rsidR="006F77F7" w:rsidRPr="00C52464" w:rsidRDefault="00FB6DDC">
      <w:pPr>
        <w:ind w:left="-5"/>
        <w:rPr>
          <w:lang w:val="en-CA"/>
        </w:rPr>
      </w:pPr>
      <w:r>
        <w:rPr>
          <w:lang w:val="en-CA"/>
        </w:rPr>
        <w:t>Developing research problems from broad problematics toward focused research questions requires systematic consideration of multiple dimensions that shape adequate investigation. First, the four ontological debates examined in this book (individuals versus groups, structure versus agency, material versus ideational, transcendence versus immanence) provide analytical frameworks for specifying what kinds of entities, relationships, and processes the research problem involves. A problem about educational inequality requires explicit consideration of how individual characteristics and institutional arrangements relate, how structural constraints and human agency interact, how material resources and cultural meanings combine or conflict, and whether explanation should identify universal mechanisms, context-specific processes, or some combination of both. These ontological specifications are not arbitrary choices but should emerge from systematic analysis of what the problem actually requires for adequate explanation.</w:t>
      </w:r>
    </w:p>
    <w:p w14:paraId="0A1A5426" w14:textId="77777777" w:rsidR="006F77F7" w:rsidRPr="00C52464" w:rsidRDefault="00FB6DDC">
      <w:pPr>
        <w:ind w:left="-5"/>
        <w:rPr>
          <w:lang w:val="en-CA"/>
        </w:rPr>
      </w:pPr>
      <w:r>
        <w:rPr>
          <w:lang w:val="en-CA"/>
        </w:rPr>
        <w:t>Second, temporal and spatial dimensions prove essential for adequate problem formulation. Time operates not simply as chronological backdrop but through complex modes including how past processes remain present within current arrangements (</w:t>
      </w:r>
      <w:r>
        <w:rPr>
          <w:i/>
          <w:lang w:val="en-CA"/>
        </w:rPr>
        <w:t>existential constitution</w:t>
      </w:r>
      <w:r>
        <w:rPr>
          <w:lang w:val="en-CA"/>
        </w:rPr>
        <w:t>), how multiple temporal layers coexist simultaneously (</w:t>
      </w:r>
      <w:r>
        <w:rPr>
          <w:i/>
          <w:lang w:val="en-CA"/>
        </w:rPr>
        <w:t>co-presence</w:t>
      </w:r>
      <w:r>
        <w:rPr>
          <w:lang w:val="en-CA"/>
        </w:rPr>
        <w:t>), how causes can have delayed effects (</w:t>
      </w:r>
      <w:r>
        <w:rPr>
          <w:i/>
          <w:lang w:val="en-CA"/>
        </w:rPr>
        <w:t>lagged efficacy</w:t>
      </w:r>
      <w:r>
        <w:rPr>
          <w:lang w:val="en-CA"/>
        </w:rPr>
        <w:t>), and how all research occurs within inherited contexts (</w:t>
      </w:r>
      <w:r>
        <w:rPr>
          <w:i/>
          <w:lang w:val="en-CA"/>
        </w:rPr>
        <w:t>agentive perspectivity</w:t>
      </w:r>
      <w:r>
        <w:rPr>
          <w:lang w:val="en-CA"/>
        </w:rPr>
        <w:t>). Space functions not as a neutral container but as an actively produced dimension that both reflects and reproduces social relationships through particular configurations and power arrangements. Research problems must specify appropriate temporal scales (immediate processes versus long-term development) and spatial scales (local contexts versus broader geographic relationships) while recognizing that these dimensions interact rather than operating independently. Understanding whether a problem requires synchronic analysis of current relationships, diachronic analysis of historical development, or integrated space-time analysis shapes what methods and evidence become necessary (Bhaskar, 1993; Massey, 2018).</w:t>
      </w:r>
    </w:p>
    <w:p w14:paraId="2F1ADD38" w14:textId="77777777" w:rsidR="006F77F7" w:rsidRPr="00C52464" w:rsidRDefault="00FB6DDC">
      <w:pPr>
        <w:ind w:left="-5"/>
        <w:rPr>
          <w:lang w:val="en-CA"/>
        </w:rPr>
      </w:pPr>
      <w:r>
        <w:rPr>
          <w:lang w:val="en-CA"/>
        </w:rPr>
        <w:t>Third, research problem development is inherently iterative rather than linear. Initial problem formulations emerge from preliminary engagement with problematics and existing research, but these formulations necessarily reflect incomplete understanding based on limited investigation. As research proceeds through systematic evidence organization, theoretical engagement, and methodological development, problems typically require refinement that may involve reconceptualization at different levels of abstraction, specification of previously unrecognized dimensions, or recognition that problems require integration across multiple ontological positions or analytical frameworks. This iterative refinement represents intellectual progress rather than methodological failure, indicating that investigation has generated insights that initial formulations could not anticipate. The movement between research problematics, specific research problems, and focused research questions thus constitutes ongoing dialectical process through which understanding develops rather than fixed sequence to be completed at the outset (Danermark et al., 2002; Sayer, 2000).</w:t>
      </w:r>
    </w:p>
    <w:p w14:paraId="34A575A7" w14:textId="77777777" w:rsidR="006F77F7" w:rsidRPr="00C52464" w:rsidRDefault="00FB6DDC">
      <w:pPr>
        <w:spacing w:after="643"/>
        <w:ind w:left="-5"/>
        <w:rPr>
          <w:lang w:val="en-CA"/>
        </w:rPr>
      </w:pPr>
      <w:r>
        <w:rPr>
          <w:lang w:val="en-CA"/>
        </w:rPr>
        <w:lastRenderedPageBreak/>
        <w:t>Research questions should be understood as provisional formulations that develop dialectically through engagement with problematics, existing research, empirical evidence, and theoretical frameworks rather than as fixed starting points. This dialectical understanding recognizes that research questions necessarily reflect particular ontological commitments; they cannot be formulated neutrally with respect to fundamental philosophical assumptions about social reality. A question about "what individual characteristics predict educational achievement" reflects individualist commitments and cannot investigate collective mechanisms without reformulation. A question about "how institutional arrangements create educational inequality" reflects collectivist commitments and cannot adequately address individual variation without theoretical modification. Developing sophisticated research questions requires moving through analytical stages connecting ontological awareness to empirical investigation in ways that make philosophical assumptions explicit and subject to systematic examination (Sayer, 2000; Lawson, 1997).</w:t>
      </w:r>
    </w:p>
    <w:p w14:paraId="2CC809D4" w14:textId="77777777" w:rsidR="00846596" w:rsidRDefault="00846596">
      <w:pPr>
        <w:pStyle w:val="Heading2"/>
      </w:pPr>
      <w:r>
        <w:t>4.4 The Four Social Ontological Debates</w:t>
      </w:r>
    </w:p>
    <w:p w14:paraId="16728A66" w14:textId="77777777" w:rsidR="00846596" w:rsidRDefault="00846596">
      <w:pPr>
        <w:jc w:val="both"/>
      </w:pPr>
      <w:r>
        <w:t>Chapters 1 through 3 established the philosophical foundations of social research at a level of generality sufficient to apply across the full range of social inquiry. What they leave open are substantive social ontological questions that no amount of further philosophical clarification at that general level can settle. They remain open not because the analysis has been incomplete but because the complexity, conceptual mediation, emergence, and reflexivity that are distinctive features of social reality, as developed in Chapter 3, generate genuine and enduring disagreements about what the social world contains and how its contents are constituted. Four such disagreements recur with sufficient consistency, and with sufficiently systematic consequences for research design and interpretation, to constitute the primary fault lines of social ontological dispute. They are examined in Chapters 5 through 8.</w:t>
      </w:r>
    </w:p>
    <w:p w14:paraId="19B35760" w14:textId="77777777" w:rsidR="00846596" w:rsidRDefault="00846596">
      <w:pPr>
        <w:jc w:val="both"/>
      </w:pPr>
      <w:r>
        <w:t>The first is the debate between individuals and groups. A study that explains educational outcomes primarily through individual capacity, effort, and circumstance is making a different ontological commitment from one that explains the same outcomes through institutional arrangements, cultural patterns, and collective constraints. Both engage the same empirical world, but the ontological commitment that runs beneath each one shapes what counts as a cause, what kind of evidence is legible, and what explanations are formulable. The debate concerns whether the fundamental units of social reality are individuals, whose properties and interactions generate whatever collective patterns exist, or whether collectives, institutions, and social arrangements possess properties and causal powers not reducible to the individuals who compose them. It is taken up in Chapter 5.</w:t>
      </w:r>
    </w:p>
    <w:p w14:paraId="136B4B81" w14:textId="77777777" w:rsidR="00846596" w:rsidRDefault="00846596">
      <w:pPr>
        <w:jc w:val="both"/>
      </w:pPr>
      <w:r>
        <w:t>The second is the debate between structure and agency. Social arrangements confront actors as pre-existing features of their situation, enabling some courses of action and constraining others, while actors simultaneously reproduce and transform those arrangements through their conduct. The debate concerns where causal weight resides in this relationship: in the structural conditions actors inherit, in the agential capacities through which they respond, or in some specified combination of the two. These are not different emphases applied to a shared object but different objects of inquiry, and the ontological commitment a framework makes here shapes its entire explanatory apparatus. This debate is examined in Chapter 6.</w:t>
      </w:r>
    </w:p>
    <w:p w14:paraId="30B18391" w14:textId="77777777" w:rsidR="00846596" w:rsidRDefault="00846596">
      <w:pPr>
        <w:jc w:val="both"/>
      </w:pPr>
      <w:r>
        <w:t xml:space="preserve">The third is the debate between material and ideational forces. Social arrangements persist and change through the interaction of material conditions, such as distributions </w:t>
        <w:lastRenderedPageBreak/>
        <w:t>of resources, technological capacities, and physical environments, and ideational forces, such as beliefs, meanings, norms, and cultural frameworks. A study that explains social outcomes primarily through material interests and resource constraints is operating from a different ontological position than one that treats shared meanings or normative commitments as the primary causal drivers, even when both engage the same phenomenon. The relationship between material and ideational factors, and the ontological priority each can defensibly claim, is the subject of Chapter 7.</w:t>
      </w:r>
    </w:p>
    <w:p w14:paraId="18255ADA" w14:textId="77777777" w:rsidR="00846596" w:rsidRDefault="00846596">
      <w:pPr>
        <w:jc w:val="both"/>
      </w:pPr>
      <w:r>
        <w:t>The fourth is the debate between transcendence and immanence. Once a mechanism has been identified, for example the process through which institutional arrangements shape educational trajectories, does it operate in the same way across different contexts, times, and places? Or is its operation constitutively shaped by the specific configuration of conditions in which it is embedded, such that it cannot be straightforwardly generalized beyond that configuration? The debate concerns whether social mechanisms possess a degree of generality that allows them to travel across contexts, operating by virtue of what they are as mechanisms independently of any particular setting, or whether what appears to be a general mechanism is always particular to the specific relational configuration that produced it. It is examined in Chapter 8.</w:t>
      </w:r>
    </w:p>
    <w:p w14:paraId="4B8EB480" w14:textId="77777777" w:rsidR="00846596" w:rsidRDefault="00846596">
      <w:pPr>
        <w:jc w:val="both"/>
      </w:pPr>
      <w:r>
        <w:t>These four debates do not constitute a comprehensive map of all possible social ontological questions. They are the fault lines along which social research most consistently divides, and along which the consequences of ontological commitment are most fully visible in research design, data collection, analysis, and interpretation. Other dimensions of social reality, for instance aspects that are not yet adequately conceptualized in ontological rather than epistemological terms, may in time give rise to further debates that would need to be situated alongside these four. That is a matter for ongoing research into the foundations of social inquiry rather than a limitation of the present framework. What the framework does claim is that positioning within these four debates is a necessary condition of any coherent research design, because commitments within them are unavoidable and govern what a study can count as evidence, what it can count as explanation, and what its findings can and cannot reach.</w:t>
      </w:r>
    </w:p>
    <w:p w14:paraId="2DC5F0C5" w14:textId="77777777" w:rsidR="00846596" w:rsidRDefault="00846596">
      <w:pPr>
        <w:jc w:val="both"/>
      </w:pPr>
      <w:r>
        <w:t xml:space="preserve">The four debates are examined in the order in which they appear in this book for two connected reasons. The first is didactic: the debate between individuals and groups is the most concrete and accessible entry point into ontological analysis, and the progression from there through structure and agency, material and ideational, to transcendence and immanence moves from the most tractable terrain to the most abstract. Building analytical capability requires this kind of graduated movement. The second reason is that the ordering also reflects a genuine philosophical relationship among the debates. They become progressively more encompassing, from questions about the basic units of social reality through questions about how those units relate to the conditions and processes they enter into, through questions about what drives those processes, to questions about how far any account of them can travel. This relationship runs in both directions. Commitments made in the earlier and more concrete debates tend to create consistency pressures on the more abstract debates that follow: a </w:t>
        <w:lastRenderedPageBreak/>
        <w:t>framework that has denied that collectives possess emergent properties will face pressure, when it arrives at the structure and agency debate, toward positions that sit less comfortably with structural causation. But the more abstract debates also implicitly shape where researchers begin. A prior orientation toward the immanence pole, for instance, will already dispose a researcher toward positions that emphasize the particularity of individuals in specific configurations rather than general collective properties, orienting their starting point in the individuals and groups debate before that debate has been explicitly addressed. These consistency pressures run in both directions, which is why recognizing incoherent combinations across the four debates is among the most important contributions ontological situating makes possible.</w:t>
      </w:r>
    </w:p>
    <w:p w14:paraId="6E937D28" w14:textId="77777777" w:rsidR="00846596" w:rsidRDefault="00846596">
      <w:pPr>
        <w:pStyle w:val="Heading2"/>
      </w:pPr>
      <w:r>
        <w:t>4.5 Situating as Analytical Practice</w:t>
      </w:r>
    </w:p>
    <w:p w14:paraId="66EA54B3" w14:textId="77777777" w:rsidR="00846596" w:rsidRDefault="00846596">
      <w:pPr>
        <w:jc w:val="both"/>
      </w:pPr>
      <w:r>
        <w:t>Ontological situating is systematic but it is not algorithmic. The ontological commitments of a piece of research are not typically announced explicitly; they must be identified from how the research is actually conducted, specifically from the entities it treats as real, the causal mechanisms it invokes, the forms of evidence it treats as bearing on its claims, and the explanatory moves it makes when findings diverge from expectations. This identification involves interpretive judgment, and interpretive judgment is fallible. A situating of any piece of research is therefore a proposition about the ontological position it occupies, not a determination of it. It can be contested by the researcher whose work is being situated, by other readers who have read the same texts differently, or by further engagement with the work itself that reveals commitments initially missed or misread.</w:t>
      </w:r>
    </w:p>
    <w:p w14:paraId="11AA0001" w14:textId="77777777" w:rsidR="00846596" w:rsidRDefault="00846596">
      <w:pPr>
        <w:jc w:val="both"/>
      </w:pPr>
      <w:r>
        <w:t>The interpretive judgment that situating requires can be given a more precise characterisation through the distinction between two ways of reading a body of research: thematically and ontologically. A thematic reading attends to what a study or theoretical corpus characteristically emphasises and deploys: the subject matter it announces, the vocabulary it favours, the concepts it foregrounds, and the empirical events it assembles and analyses as evidence. An ontological reading attends to what the analysis presupposes about the nature of social reality: what entities it treats as real, what causal powers it attributes to them, and how it takes those entities and powers to be constituted. The two readings answer different questions. The thematic question asks what the research is about; the ontological question asks what must exist, and exist in what manner, for the research to explain what it claims to explain. The distinction maps directly onto the stratified ontology on which this book rests and onto the trench heuristic developed in section 4.2. Evidence belongs to the domain of the empirical, since it consists of what has been observed, recorded, and rendered as data; themes are orderings of that empirical material into patterns of emphasis and salience, and so remain at the wide surface of the trench; ontological commitments concern the domain of the real, the entities and generative mechanisms whose existence and operation the analysis presupposes whether or not it ever discusses them explicitly (Bhaskar, 1975; Sayer, 2000). Theme and evidence, in other words, are of the same stratum; ontology is not.</w:t>
      </w:r>
    </w:p>
    <w:p w14:paraId="11AA0002" w14:textId="77777777" w:rsidR="00846596" w:rsidRDefault="00846596">
      <w:pPr>
        <w:jc w:val="both"/>
      </w:pPr>
      <w:r>
        <w:t>The two levels are related without being identical, and each of the two possible conflations is analytically costly. Ontology is visible in theme: thematic choices are never ontologically innocent, because what a corpus consistently emphasises, what it treats as requiring explanation, and what it treats as explanatory bedrock are all shaped by what it presupposes to be real. Reading ontology in and through theme is therefore possible, and it is precisely what the diagnostic questions developed in Part II are designed to do. But reading ontology in theme is not the same as reading theme as ontology. A theorist can be thematically committed to relational analysis while presupposing intrinsic properties; a corpus can foreground discourse on every page while resting on unexamined assumptions about material mechanisms. Treating thematic emphasis as if it were ontological commitment mistakes vocabulary for presupposition, and produces situatings that reproduce a corpus’s self-presentation rather than identify its actual position.</w:t>
      </w:r>
    </w:p>
    <w:p w14:paraId="11AA0003" w14:textId="77777777" w:rsidR="00846596" w:rsidRDefault="00846596">
      <w:pPr>
        <w:jc w:val="both"/>
      </w:pPr>
      <w:r>
        <w:t>The converse failure is to remain at the level of theme altogether. An analysis that never moves beneath its themes is confined to organising a particular set of empirical events into patterns: it can describe, classify, and correlate, but it cannot say what its patterns are patterns of, because the question of what produces the observed events is not a thematic question and cannot be answered with thematic resources. What carries analysis from the thematic level to the ontological level is a reduction: a deliberate analytical movement, retroductive in character, that suspends the thematic surface of a corpus, its declared subject matter and preferred vocabulary, in order to ask what the analysis must presuppose about the constitution of social reality for its explanatory claims to be intelligible. Evidence, however carefully assembled, remains evidence at the level of the empirical; the question of what the evidence is evidence of cannot be answered by accumulating more of it, but only by this reductive movement toward the commitments beneath it (Bhaskar, 1975). Without the reduction, situating collapses into thematic summary, and research design collapses into the analysis of empirical events whose conditions of possibility remain unexamined. The distinction between thematic and ontological reading operates throughout the four debates of Part II, and it becomes sharpest and most consequential in the transcendence and immanence debate of Chapter 8, where the gap between what a corpus claims thematically and what it presupposes ontologically is often widest.</w:t>
      </w:r>
    </w:p>
    <w:p w14:paraId="687312B8" w14:textId="77777777" w:rsidR="00846596" w:rsidRDefault="00846596">
      <w:pPr>
        <w:jc w:val="both"/>
      </w:pPr>
      <w:r>
        <w:t>This fallibility does not undermine ontological situating as a method. All interpretive analytical practices are fallible in this way; the alternative to fallible systematic analysis is not infallible analysis but unsystematic and unreflective judgment. What the fallibility does imply is that ontological situating should be approached as a discipline of reflexive self-examination rather than as a technique for assigning researchers to fixed positions. The heuristic value of the practice is not primarily the final location it assigns to another researcher's work; it is the clarification it produces about one's own ontological position: what it enables, what it forecloses, and what it requires one to assume in order to see what it sees.</w:t>
      </w:r>
    </w:p>
    <w:p w14:paraId="30CF468A" w14:textId="77777777" w:rsidR="00846596" w:rsidRDefault="00846596">
      <w:pPr>
        <w:jc w:val="both"/>
      </w:pPr>
      <w:r>
        <w:t xml:space="preserve">When a researcher situates existing scholarship in a domain, the primary output is not a taxonomy of where others stand. It is a progressively clearer understanding of what the social phenomena under investigation look like from different ontological positions: what each position can reach, what it cannot, and what more adequate specification of those positions would enable by way of explanation. The identification of an ontological gap, meaning an aspect of the phenomenon that is structurally foreclosed by the dominant positions in a literature, is always simultaneously a claim about what ontological commitments a new investigation would need to carry in order to access what existing investigations cannot. Better specifications of ontological position are not </w:t>
        <w:lastRenderedPageBreak/>
        <w:t>ends in themselves; they are instruments for getting closer to adequate explanation of what actually exists and operates in social reality. Situating is in this sense inherently self-involving: one cannot identify what another position forecloses without implicitly committing to a position from which that foreclosure is visible.</w:t>
      </w:r>
    </w:p>
    <w:p w14:paraId="4359E009" w14:textId="77777777" w:rsidR="00846596" w:rsidRDefault="00846596">
      <w:pPr>
        <w:jc w:val="both"/>
      </w:pPr>
      <w:r>
        <w:t>The heuristic character of situating also means that it is subject to revision in light of further analysis. A researcher may situate a body of work, identify an apparent ontological gap, design an investigation to address it, and find through that investigation that the original situating was incomplete, in that what appeared to be a structural foreclosure was a more nuanced commitment, or that what appeared to be a gap was in fact being addressed from within a different ontological vocabulary. This is not a failure of the method but a consequence of its appropriate use: ontological situating is a tool for making commitments explicit so that they can be examined and revised, not a procedure for settling questions that the work of research leaves open. It is indispensable as a discipline of self-reflection on what one's own ontological position can and cannot say, and it is most valuable precisely when it is held to that standard rather than used as a device for assigning fixed positions to others.</w:t>
      </w:r>
    </w:p>
    <w:p w14:paraId="4EC23F06" w14:textId="77777777" w:rsidR="00846596" w:rsidRDefault="00846596">
      <w:pPr>
        <w:pStyle w:val="Heading2"/>
      </w:pPr>
      <w:r>
        <w:t>4.6 Conclusion</w:t>
      </w:r>
    </w:p>
    <w:p w14:paraId="240E8269" w14:textId="77777777" w:rsidR="00846596" w:rsidRDefault="00846596">
      <w:pPr>
        <w:jc w:val="both"/>
      </w:pPr>
      <w:r>
        <w:t>The four chapters that constitute Part II of this book each examine one of the four social ontological debates in sustained detail. They proceed through a consistent structure, establishing the philosophical depth of the debate, mapping the continuum of positions between its poles and the explanatory burdens each pole creates, developing diagnostic questions for locating positions on that continuum, and applying those questions to significant theoretical positions, because building analytical capability requires encountering the same framework in different substantive domains. The debates differ from one another in what they are about; the analytical tools for engaging with them are the same.</w:t>
      </w:r>
    </w:p>
    <w:p w14:paraId="7EE7C8A2" w14:textId="77777777" w:rsidR="00846596" w:rsidRDefault="00846596">
      <w:pPr>
        <w:jc w:val="both"/>
      </w:pPr>
      <w:r>
        <w:t>What the present chapter has established is the ground on which that work rests. Ontological situating emerges from the cumulative limitations of the major traditions of engagement with existing research: it is what systematic inquiry requires once those limitations are taken seriously. The four social ontological debates are not arbitrary classifications but the fault lines along which social research most consistently divides, ordered from the most concrete and tractable to the most abstract and encompassing, and connected by consistency pressures that run in both directions and make incoherent combinations across them philosophically costly. And the practice of situating, however systematic, remains a heuristic: fallible, revisable, and most valuable as a discipline of reflexive self-examination about what one's own position enables and forecloses.</w:t>
      </w:r>
    </w:p>
    <w:p w14:paraId="1659133E" w14:textId="496C6D30" w:rsidR="00846596" w:rsidRDefault="00846596">
      <w:pPr>
        <w:pStyle w:val="Heading1"/>
      </w:pPr>
      <w:r>
        <w:lastRenderedPageBreak/>
        <w:t>References</w:t>
      </w:r>
    </w:p>
    <w:p>
      <w:pPr/>
      <w:r>
        <w:t xml:space="preserve">Althusser, L. (1970). For Marx (B. Brewster, Trans.). Vintage Books. (Original work published 1965)</w:t>
      </w:r>
    </w:p>
    <w:p>
      <w:pPr/>
      <w:r>
        <w:t xml:space="preserve">Archer, M. S. (1995). Realist social theory: The morphogenetic approach. Cambridge University Press.</w:t>
      </w:r>
    </w:p>
    <w:p w14:paraId="5098E09E" w14:textId="77777777" w:rsidR="00846596" w:rsidRDefault="00846596">
      <w:pPr>
        <w:spacing w:after="120"/>
        <w:ind w:left="720" w:hanging="720"/>
        <w:jc w:val="both"/>
      </w:pPr>
      <w:r>
        <w:t>Bhaskar, R. (1975). A realist theory of science. Leeds Books.</w:t>
      </w:r>
    </w:p>
    <w:p w14:paraId="605E038D" w14:textId="77777777" w:rsidR="00846596" w:rsidRDefault="00846596">
      <w:pPr>
        <w:spacing w:after="120"/>
        <w:ind w:left="720" w:hanging="720"/>
        <w:jc w:val="both"/>
      </w:pPr>
      <w:r>
        <w:t>Bhaskar, R. (1979). The possibility of naturalism: A philosophical critique of the contemporary human sciences. Harvester Press.</w:t>
      </w:r>
    </w:p>
    <w:p w14:paraId="77009869" w14:textId="77777777" w:rsidR="00846596" w:rsidRDefault="00846596">
      <w:pPr>
        <w:spacing w:after="120"/>
        <w:ind w:left="720" w:hanging="720"/>
        <w:jc w:val="both"/>
      </w:pPr>
      <w:r>
        <w:t>Bhaskar, R. (1993). Dialectic: The pulse of freedom. Verso.</w:t>
      </w:r>
    </w:p>
    <w:p w14:paraId="7DDCC75F" w14:textId="77777777" w:rsidR="00846596" w:rsidRDefault="00846596">
      <w:pPr>
        <w:spacing w:after="120"/>
        <w:ind w:left="720" w:hanging="720"/>
        <w:jc w:val="both"/>
      </w:pPr>
      <w:r>
        <w:t>Blaikie, N. (2007). Approaches to social enquiry (2nd ed.). Polity Press.</w:t>
      </w:r>
    </w:p>
    <w:p w14:paraId="17FD3B91" w14:textId="77777777" w:rsidR="00846596" w:rsidRDefault="00846596">
      <w:pPr>
        <w:spacing w:after="120"/>
        <w:ind w:left="720" w:hanging="720"/>
        <w:jc w:val="both"/>
      </w:pPr>
      <w:r>
        <w:t>Collier, A. (1994). Critical realism: An introduction to Roy Bhaskar’s philosophy. Verso.</w:t>
      </w:r>
    </w:p>
    <w:p w14:paraId="12D5E380" w14:textId="77777777" w:rsidR="00846596" w:rsidRDefault="00846596">
      <w:pPr>
        <w:spacing w:after="120"/>
        <w:ind w:left="720" w:hanging="720"/>
        <w:jc w:val="both"/>
      </w:pPr>
      <w:r>
        <w:t>Cooper, H. (1998). Synthesizing research: A guide for literature reviews (3rd ed.). Sage.</w:t>
      </w:r>
    </w:p>
    <w:p w14:paraId="6FBC5E26" w14:textId="77777777" w:rsidR="00846596" w:rsidRDefault="00846596">
      <w:pPr>
        <w:spacing w:after="120"/>
        <w:ind w:left="720" w:hanging="720"/>
        <w:jc w:val="both"/>
      </w:pPr>
      <w:r>
        <w:t>Danermark, B., Ekstrom, M., Jakobsen, L., and Karlsson, J. C. (2002). Explaining society: Critical realism in the social sciences. Routledge.</w:t>
      </w:r>
    </w:p>
    <w:p w14:paraId="35F863D2" w14:textId="77777777" w:rsidR="00846596" w:rsidRDefault="00846596">
      <w:pPr>
        <w:spacing w:after="120"/>
        <w:ind w:left="720" w:hanging="720"/>
        <w:jc w:val="both"/>
      </w:pPr>
      <w:r>
        <w:t>Foucault, M. (1977). Discipline and punish: The birth of the prison. Pantheon Books.</w:t>
      </w:r>
    </w:p>
    <w:p w14:paraId="1C33B99B" w14:textId="77777777" w:rsidR="00846596" w:rsidRDefault="00846596">
      <w:pPr>
        <w:spacing w:after="120"/>
        <w:ind w:left="720" w:hanging="720"/>
        <w:jc w:val="both"/>
      </w:pPr>
      <w:r>
        <w:t>Foucault, M. (1980). Power/knowledge: Selected interviews and other writings, 1972-1977 (C. Gordon, Ed.). Pantheon Books.</w:t>
      </w:r>
    </w:p>
    <w:p>
      <w:pPr/>
      <w:r>
        <w:t xml:space="preserve">Giddens, A. (1984). The constitution of society: Outline of the theory of structuration. University of California Press.</w:t>
      </w:r>
    </w:p>
    <w:p w14:paraId="72BF657F" w14:textId="77777777" w:rsidR="00846596" w:rsidRDefault="00846596">
      <w:pPr>
        <w:spacing w:after="120"/>
        <w:ind w:left="720" w:hanging="720"/>
        <w:jc w:val="both"/>
      </w:pPr>
      <w:r>
        <w:t>Hegel, G. W. F. (1807/1977). Phenomenology of spirit (A. V. Miller, Trans.). Oxford University Press.</w:t>
      </w:r>
    </w:p>
    <w:p>
      <w:pPr/>
      <w:r>
        <w:t xml:space="preserve">Kuhn, T. S. (1962). The structure of scientific revolutions. University of Chicago Press.</w:t>
      </w:r>
    </w:p>
    <w:p>
      <w:pPr/>
      <w:r>
        <w:t xml:space="preserve">Lakatos, I. (1978). The methodology of scientific research programmes: Philosophical papers volume 1. Cambridge University Press.</w:t>
      </w:r>
    </w:p>
    <w:p>
      <w:pPr/>
      <w:r>
        <w:t xml:space="preserve">Laudan, L. (1977). Progress and its problems: Towards a theory of scientific growth. University of California Press.</w:t>
      </w:r>
    </w:p>
    <w:p w14:paraId="776E04E6" w14:textId="77777777" w:rsidR="00846596" w:rsidRDefault="00846596">
      <w:pPr>
        <w:spacing w:after="120"/>
        <w:ind w:left="720" w:hanging="720"/>
        <w:jc w:val="both"/>
      </w:pPr>
      <w:r>
        <w:t>Lawson, T. (1997). Economics and reality. Routledge.</w:t>
      </w:r>
    </w:p>
    <w:p w14:paraId="33CDF8C0" w14:textId="77777777" w:rsidR="00846596" w:rsidRDefault="00846596">
      <w:pPr>
        <w:spacing w:after="120"/>
        <w:ind w:left="720" w:hanging="720"/>
        <w:jc w:val="both"/>
      </w:pPr>
      <w:r>
        <w:t>Lincoln, Y. S. and Guba, E. G. (1985). Naturalistic inquiry. Sage.</w:t>
      </w:r>
    </w:p>
    <w:p w14:paraId="2BD2D51B" w14:textId="77777777" w:rsidR="00846596" w:rsidRDefault="00846596">
      <w:pPr>
        <w:spacing w:after="120"/>
        <w:ind w:left="720" w:hanging="720"/>
        <w:jc w:val="both"/>
      </w:pPr>
      <w:r>
        <w:t>Marx, K. (1867/1976). Capital: A critique of political economy, Vol. 1 (B. Fowkes, Trans.). Penguin Books.</w:t>
      </w:r>
    </w:p>
    <w:p>
      <w:pPr/>
      <w:r>
        <w:t xml:space="preserve">Massey, D. (2018). Power-geometry and a progressive sense of place. In The Doreen Massey reader (pp. 149–158). Agenda Publishing. (Original work published 1993)</w:t>
      </w:r>
    </w:p>
    <w:p w14:paraId="38475319" w14:textId="77777777" w:rsidR="00846596" w:rsidRDefault="00846596">
      <w:pPr>
        <w:spacing w:after="120"/>
        <w:ind w:left="720" w:hanging="720"/>
        <w:jc w:val="both"/>
      </w:pPr>
      <w:r>
        <w:t>Petticrew, M. and Roberts, H. (2006). Systematic reviews in the social sciences: A practical guide. Blackwell.</w:t>
      </w:r>
    </w:p>
    <w:p w14:paraId="45271CE0" w14:textId="77777777" w:rsidR="00846596" w:rsidRDefault="00846596">
      <w:pPr>
        <w:spacing w:after="120"/>
        <w:ind w:left="720" w:hanging="720"/>
        <w:jc w:val="both"/>
      </w:pPr>
      <w:r>
        <w:t>Sayer, A. (2000). Realism and social science. Sage.</w:t>
      </w:r>
    </w:p>
    <w:p w14:paraId="47129BB1" w14:textId="77777777" w:rsidR="00846596" w:rsidRDefault="00846596">
      <w:pPr>
        <w:spacing w:after="120"/>
        <w:ind w:left="720" w:hanging="720"/>
        <w:jc w:val="both"/>
      </w:pPr>
      <w:r>
        <w:t>Schwandt, T. A. (2000). Three epistemological stances for qualitative inquiry: Interpretivism, hermeneutics, and social constructionism. In N. K. Denzin and Y. S. Lincoln (Eds.), Handbook of qualitative research (2nd ed., pp. 189-213). Sage.</w:t>
      </w:r>
    </w:p>
    <w:sectPr w:rsidR="00846596">
      <w:headerReference w:type="even" r:id="rId6"/>
      <w:headerReference w:type="default" r:id="rId7"/>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59DA8" w14:textId="77777777" w:rsidR="00E83EB1" w:rsidRDefault="00E83EB1" w:rsidP="00A323A6">
      <w:pPr>
        <w:spacing w:after="0" w:line="240" w:lineRule="auto"/>
      </w:pPr>
      <w:r>
        <w:separator/>
      </w:r>
    </w:p>
  </w:endnote>
  <w:endnote w:type="continuationSeparator" w:id="0">
    <w:p w14:paraId="07FB5CB1" w14:textId="77777777" w:rsidR="00E83EB1" w:rsidRDefault="00E83EB1" w:rsidP="00A323A6">
      <w:pPr>
        <w:spacing w:after="0" w:line="240" w:lineRule="auto"/>
      </w:pPr>
      <w:r>
        <w:continuationSeparator/>
      </w:r>
    </w:p>
  </w:endnote>
  <w:endnote w:type="continuationNotice" w:id="1">
    <w:p w14:paraId="4849BC65" w14:textId="77777777" w:rsidR="00E83EB1" w:rsidRDefault="00E83E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773FD" w14:textId="77777777" w:rsidR="00E83EB1" w:rsidRDefault="00E83EB1" w:rsidP="00A323A6">
      <w:pPr>
        <w:spacing w:after="0" w:line="240" w:lineRule="auto"/>
      </w:pPr>
      <w:r>
        <w:separator/>
      </w:r>
    </w:p>
  </w:footnote>
  <w:footnote w:type="continuationSeparator" w:id="0">
    <w:p w14:paraId="0528138D" w14:textId="77777777" w:rsidR="00E83EB1" w:rsidRDefault="00E83EB1" w:rsidP="00A323A6">
      <w:pPr>
        <w:spacing w:after="0" w:line="240" w:lineRule="auto"/>
      </w:pPr>
      <w:r>
        <w:continuationSeparator/>
      </w:r>
    </w:p>
  </w:footnote>
  <w:footnote w:type="continuationNotice" w:id="1">
    <w:p w14:paraId="499BA864" w14:textId="77777777" w:rsidR="00E83EB1" w:rsidRDefault="00E83EB1">
      <w:pPr>
        <w:spacing w:after="0" w:line="240" w:lineRule="auto"/>
      </w:pPr>
    </w:p>
  </w:footnote>
  <w:footnote w:id="2">
    <w:p w14:paraId="22ABE35A" w14:textId="4B3209FD" w:rsidR="00A323A6" w:rsidRPr="00A9319D" w:rsidRDefault="00A323A6">
      <w:pPr>
        <w:pStyle w:val="FootnoteText"/>
        <w:rPr>
          <w:lang w:val="en-CA"/>
        </w:rPr>
      </w:pPr>
      <w:r w:rsidRPr="00A9319D">
        <w:rPr>
          <w:rStyle w:val="FootnoteReference"/>
          <w:lang w:val="en-CA"/>
        </w:rPr>
        <w:footnoteRef/>
      </w:r>
      <w:r w:rsidRPr="00A9319D">
        <w:rPr>
          <w:lang w:val="en-CA"/>
        </w:rPr>
        <w:t xml:space="preserve"> </w:t>
      </w:r>
      <w:r w:rsidR="00B87D4B">
        <w:rPr>
          <w:lang w:val="en-CA"/>
        </w:rPr>
        <w:t xml:space="preserve">Substantial editing for this chapter was provided by </w:t>
      </w:r>
      <w:r w:rsidR="00A9319D" w:rsidRPr="00A9319D">
        <w:rPr>
          <w:lang w:val="en-CA"/>
        </w:rPr>
        <w:t>Elise Wester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118A"/>
    <w:multiLevelType w:val="hybridMultilevel"/>
    <w:tmpl w:val="0786FA3C"/>
    <w:lvl w:ilvl="0" w:tplc="8AD816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6682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2EF4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0680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DEC7C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A427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AE7C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6C43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E4FB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2035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7F7"/>
    <w:rsid w:val="00023467"/>
    <w:rsid w:val="00060B33"/>
    <w:rsid w:val="000C2CE7"/>
    <w:rsid w:val="000C5140"/>
    <w:rsid w:val="000F674D"/>
    <w:rsid w:val="001477CA"/>
    <w:rsid w:val="00154C57"/>
    <w:rsid w:val="0016741B"/>
    <w:rsid w:val="001A4B1A"/>
    <w:rsid w:val="001B40A4"/>
    <w:rsid w:val="00211EDD"/>
    <w:rsid w:val="00273F36"/>
    <w:rsid w:val="00294BFF"/>
    <w:rsid w:val="002D2B00"/>
    <w:rsid w:val="002E2454"/>
    <w:rsid w:val="002F6A08"/>
    <w:rsid w:val="00305839"/>
    <w:rsid w:val="003151D6"/>
    <w:rsid w:val="00320296"/>
    <w:rsid w:val="0032191E"/>
    <w:rsid w:val="00334434"/>
    <w:rsid w:val="0033549F"/>
    <w:rsid w:val="00341459"/>
    <w:rsid w:val="00342576"/>
    <w:rsid w:val="0034618E"/>
    <w:rsid w:val="003541A3"/>
    <w:rsid w:val="00393A4A"/>
    <w:rsid w:val="003B54E0"/>
    <w:rsid w:val="003F6348"/>
    <w:rsid w:val="00444CF2"/>
    <w:rsid w:val="00462A5F"/>
    <w:rsid w:val="004649CA"/>
    <w:rsid w:val="00497412"/>
    <w:rsid w:val="004A6429"/>
    <w:rsid w:val="004F0D4D"/>
    <w:rsid w:val="004F245C"/>
    <w:rsid w:val="005502FC"/>
    <w:rsid w:val="00555E3C"/>
    <w:rsid w:val="005659E4"/>
    <w:rsid w:val="00570041"/>
    <w:rsid w:val="005A14FE"/>
    <w:rsid w:val="005C4957"/>
    <w:rsid w:val="005D20A9"/>
    <w:rsid w:val="005D3640"/>
    <w:rsid w:val="005F7A08"/>
    <w:rsid w:val="00627D6D"/>
    <w:rsid w:val="006463C2"/>
    <w:rsid w:val="0066200F"/>
    <w:rsid w:val="00676B1B"/>
    <w:rsid w:val="00694DE6"/>
    <w:rsid w:val="006A4158"/>
    <w:rsid w:val="006A6770"/>
    <w:rsid w:val="006B1342"/>
    <w:rsid w:val="006B34B3"/>
    <w:rsid w:val="006C14D7"/>
    <w:rsid w:val="006D4A6B"/>
    <w:rsid w:val="006E5C9F"/>
    <w:rsid w:val="006F0542"/>
    <w:rsid w:val="006F2C45"/>
    <w:rsid w:val="006F480B"/>
    <w:rsid w:val="006F77F7"/>
    <w:rsid w:val="00701D75"/>
    <w:rsid w:val="00705281"/>
    <w:rsid w:val="00705E6E"/>
    <w:rsid w:val="007134B7"/>
    <w:rsid w:val="00743BA0"/>
    <w:rsid w:val="007662FA"/>
    <w:rsid w:val="00774290"/>
    <w:rsid w:val="007A15AB"/>
    <w:rsid w:val="00877DC4"/>
    <w:rsid w:val="008E5DB0"/>
    <w:rsid w:val="008F024D"/>
    <w:rsid w:val="008F2200"/>
    <w:rsid w:val="00914D90"/>
    <w:rsid w:val="00920C8D"/>
    <w:rsid w:val="009231D7"/>
    <w:rsid w:val="0092768F"/>
    <w:rsid w:val="00960E39"/>
    <w:rsid w:val="009A4A7D"/>
    <w:rsid w:val="009E1E46"/>
    <w:rsid w:val="00A1454E"/>
    <w:rsid w:val="00A20AA3"/>
    <w:rsid w:val="00A323A6"/>
    <w:rsid w:val="00A71432"/>
    <w:rsid w:val="00A9319D"/>
    <w:rsid w:val="00A935BE"/>
    <w:rsid w:val="00AA7A27"/>
    <w:rsid w:val="00AC2007"/>
    <w:rsid w:val="00B64354"/>
    <w:rsid w:val="00B87D4B"/>
    <w:rsid w:val="00BB414F"/>
    <w:rsid w:val="00BB6CB2"/>
    <w:rsid w:val="00C15FAE"/>
    <w:rsid w:val="00C52464"/>
    <w:rsid w:val="00C57612"/>
    <w:rsid w:val="00C80619"/>
    <w:rsid w:val="00C83140"/>
    <w:rsid w:val="00CA334C"/>
    <w:rsid w:val="00CA6424"/>
    <w:rsid w:val="00CE0E1A"/>
    <w:rsid w:val="00D37F9C"/>
    <w:rsid w:val="00D45FF9"/>
    <w:rsid w:val="00D86AF9"/>
    <w:rsid w:val="00E00C66"/>
    <w:rsid w:val="00E324E5"/>
    <w:rsid w:val="00E329CC"/>
    <w:rsid w:val="00E32C89"/>
    <w:rsid w:val="00E45104"/>
    <w:rsid w:val="00E45531"/>
    <w:rsid w:val="00E7074B"/>
    <w:rsid w:val="00E70CDB"/>
    <w:rsid w:val="00E83EB1"/>
    <w:rsid w:val="00E85310"/>
    <w:rsid w:val="00E96EEA"/>
    <w:rsid w:val="00EC05D2"/>
    <w:rsid w:val="00EC69CC"/>
    <w:rsid w:val="00ED7BB7"/>
    <w:rsid w:val="00EF0B5A"/>
    <w:rsid w:val="00EF1107"/>
    <w:rsid w:val="00EF5DF5"/>
    <w:rsid w:val="00F013AD"/>
    <w:rsid w:val="00F21042"/>
    <w:rsid w:val="00F246E8"/>
    <w:rsid w:val="00F51C71"/>
    <w:rsid w:val="00F61D78"/>
    <w:rsid w:val="00FB2C27"/>
    <w:rsid w:val="00FB6DDC"/>
    <w:rsid w:val="00FC0BC8"/>
    <w:rsid w:val="00FC6B6A"/>
    <w:rsid w:val="00FC7369"/>
    <w:rsid w:val="00FE219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3E61B8AB"/>
  <w15:docId w15:val="{E6D3B4F0-4525-5A49-AF75-E7A72C40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7" w:lineRule="auto"/>
      <w:ind w:left="10" w:hanging="10"/>
    </w:pPr>
    <w:rPr>
      <w:rFonts w:ascii="Times New Roman" w:eastAsia="Times New Roman" w:hAnsi="Times New Roman" w:cs="Times New Roman"/>
      <w:color w:val="000000"/>
      <w:lang w:val="nl-NL" w:eastAsia="nl-NL" w:bidi="nl-NL"/>
    </w:rPr>
  </w:style>
  <w:style w:type="paragraph" w:styleId="Heading1">
    <w:name w:val="heading 1"/>
    <w:next w:val="Normal"/>
    <w:link w:val="Heading1Char"/>
    <w:uiPriority w:val="9"/>
    <w:qFormat/>
    <w:pPr>
      <w:keepNext/>
      <w:keepLines/>
      <w:spacing w:after="448" w:line="275" w:lineRule="auto"/>
      <w:ind w:left="10" w:hanging="10"/>
      <w:outlineLvl w:val="0"/>
    </w:pPr>
    <w:rPr>
      <w:rFonts w:ascii="Times New Roman" w:eastAsia="Times New Roman" w:hAnsi="Times New Roman" w:cs="Times New Roman"/>
      <w:color w:val="000000"/>
      <w:sz w:val="40"/>
    </w:rPr>
  </w:style>
  <w:style w:type="paragraph" w:styleId="Heading2">
    <w:name w:val="heading 2"/>
    <w:next w:val="Normal"/>
    <w:link w:val="Heading2Char"/>
    <w:uiPriority w:val="9"/>
    <w:unhideWhenUsed/>
    <w:qFormat/>
    <w:pPr>
      <w:keepNext/>
      <w:keepLines/>
      <w:spacing w:after="458" w:line="265" w:lineRule="auto"/>
      <w:ind w:left="10" w:hanging="10"/>
      <w:outlineLvl w:val="1"/>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40"/>
    </w:rPr>
  </w:style>
  <w:style w:type="paragraph" w:styleId="FootnoteText">
    <w:name w:val="footnote text"/>
    <w:basedOn w:val="Normal"/>
    <w:link w:val="FootnoteTextChar"/>
    <w:uiPriority w:val="99"/>
    <w:semiHidden/>
    <w:unhideWhenUsed/>
    <w:rsid w:val="00A323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23A6"/>
    <w:rPr>
      <w:rFonts w:ascii="Times New Roman" w:eastAsia="Times New Roman" w:hAnsi="Times New Roman" w:cs="Times New Roman"/>
      <w:color w:val="000000"/>
      <w:sz w:val="20"/>
      <w:szCs w:val="20"/>
      <w:lang w:val="nl-NL" w:eastAsia="nl-NL" w:bidi="nl-NL"/>
    </w:rPr>
  </w:style>
  <w:style w:type="character" w:styleId="FootnoteReference">
    <w:name w:val="footnote reference"/>
    <w:basedOn w:val="DefaultParagraphFont"/>
    <w:uiPriority w:val="99"/>
    <w:semiHidden/>
    <w:unhideWhenUsed/>
    <w:rsid w:val="00A323A6"/>
    <w:rPr>
      <w:vertAlign w:val="superscript"/>
    </w:rPr>
  </w:style>
  <w:style w:type="paragraph" w:styleId="Header">
    <w:name w:val="header"/>
    <w:basedOn w:val="Normal"/>
    <w:link w:val="HeaderChar"/>
    <w:uiPriority w:val="99"/>
    <w:semiHidden/>
    <w:unhideWhenUsed/>
    <w:rsid w:val="005659E4"/>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5659E4"/>
    <w:rPr>
      <w:rFonts w:ascii="Times New Roman" w:eastAsia="Times New Roman" w:hAnsi="Times New Roman" w:cs="Times New Roman"/>
      <w:color w:val="000000"/>
      <w:lang w:val="nl-NL" w:eastAsia="nl-NL" w:bidi="nl-NL"/>
    </w:rPr>
  </w:style>
  <w:style w:type="paragraph" w:styleId="Footer">
    <w:name w:val="footer"/>
    <w:basedOn w:val="Normal"/>
    <w:link w:val="FooterChar"/>
    <w:uiPriority w:val="99"/>
    <w:semiHidden/>
    <w:unhideWhenUsed/>
    <w:rsid w:val="005659E4"/>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5659E4"/>
    <w:rPr>
      <w:rFonts w:ascii="Times New Roman" w:eastAsia="Times New Roman" w:hAnsi="Times New Roman" w:cs="Times New Roman"/>
      <w:color w:val="000000"/>
      <w:lang w:val="nl-NL" w:eastAsia="nl-NL" w:bidi="nl-NL"/>
    </w:rPr>
  </w:style>
  <w:style w:type="paragraph" w:customStyle="1" w:styleId="font-claude-response-body">
    <w:name w:val="font-claude-response-body"/>
    <w:basedOn w:val="Normal"/>
    <w:rsid w:val="009231D7"/>
    <w:pPr>
      <w:spacing w:before="100" w:beforeAutospacing="1" w:after="100" w:afterAutospacing="1" w:line="240" w:lineRule="auto"/>
      <w:ind w:left="0" w:firstLine="0"/>
    </w:pPr>
    <w:rPr>
      <w:color w:val="auto"/>
      <w:kern w:val="0"/>
      <w:lang w:val="en-CA" w:eastAsia="en-US" w:bidi="ar-SA"/>
      <w14:ligatures w14:val="none"/>
    </w:rPr>
  </w:style>
  <w:style w:type="character" w:styleId="Emphasis">
    <w:name w:val="Emphasis"/>
    <w:basedOn w:val="DefaultParagraphFont"/>
    <w:uiPriority w:val="20"/>
    <w:qFormat/>
    <w:rsid w:val="006B13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10187</Words>
  <Characters>58067</Characters>
  <Application>Microsoft Office Word</Application>
  <DocSecurity>0</DocSecurity>
  <Lines>483</Lines>
  <Paragraphs>136</Paragraphs>
  <ScaleCrop>false</ScaleCrop>
  <Company/>
  <LinksUpToDate>false</LinksUpToDate>
  <CharactersWithSpaces>68118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Wester</dc:creator>
  <cp:keywords/>
  <cp:lastModifiedBy>Brandon Sommer</cp:lastModifiedBy>
  <cp:revision>59</cp:revision>
  <dcterms:created xsi:type="dcterms:W3CDTF">2026-03-11T07:47:00Z</dcterms:created>
  <dcterms:modified xsi:type="dcterms:W3CDTF">2026-03-27T09:22:00Z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9e255e7998c80ebb047adad9598bf476c37c91a565e7cf1281f481901c4c1a21</vt:lpwstr>
  </property>
  <property fmtid="{D5CDD505-2E9C-101B-9397-08002B2CF9AE}" pid="3" name="MSIP_Label_8772ba27-cab8-4042-a351-a31f6e4eacdc_Enabled">
    <vt:lpwstr>true</vt:lpwstr>
  </property>
  <property fmtid="{D5CDD505-2E9C-101B-9397-08002B2CF9AE}" pid="4" name="MSIP_Label_8772ba27-cab8-4042-a351-a31f6e4eacdc_SetDate">
    <vt:lpwstr>2026-03-11T08:46:08Z</vt:lpwstr>
  </property>
  <property fmtid="{D5CDD505-2E9C-101B-9397-08002B2CF9AE}" pid="5" name="MSIP_Label_8772ba27-cab8-4042-a351-a31f6e4eacdc_Method">
    <vt:lpwstr>Standard</vt:lpwstr>
  </property>
  <property fmtid="{D5CDD505-2E9C-101B-9397-08002B2CF9AE}" pid="6" name="MSIP_Label_8772ba27-cab8-4042-a351-a31f6e4eacdc_Name">
    <vt:lpwstr>Internal</vt:lpwstr>
  </property>
  <property fmtid="{D5CDD505-2E9C-101B-9397-08002B2CF9AE}" pid="7" name="MSIP_Label_8772ba27-cab8-4042-a351-a31f6e4eacdc_SiteId">
    <vt:lpwstr>715902d6-f63e-4b8d-929b-4bb170bad492</vt:lpwstr>
  </property>
  <property fmtid="{D5CDD505-2E9C-101B-9397-08002B2CF9AE}" pid="8" name="MSIP_Label_8772ba27-cab8-4042-a351-a31f6e4eacdc_ActionId">
    <vt:lpwstr>abf8b539-0c21-41c3-9985-fc45c1d604d5</vt:lpwstr>
  </property>
  <property fmtid="{D5CDD505-2E9C-101B-9397-08002B2CF9AE}" pid="9" name="MSIP_Label_8772ba27-cab8-4042-a351-a31f6e4eacdc_ContentBits">
    <vt:lpwstr>0</vt:lpwstr>
  </property>
  <property fmtid="{D5CDD505-2E9C-101B-9397-08002B2CF9AE}" pid="10" name="MSIP_Label_8772ba27-cab8-4042-a351-a31f6e4eacdc_Tag">
    <vt:lpwstr>50, 3, 0, 1</vt:lpwstr>
  </property>
</Properties>
</file>