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mc:Ignorable="w14 w15 w16se w16cid w16 w16cex w16sdtdh w16sdtfl w16du wp14">
  <w:body>
    <w:p>
      <w:pPr>
        <w:pStyle w:val="Heading1"/>
      </w:pPr>
      <w:r>
        <w:t>Chapter 5: Individuals and Groups</w:t>
      </w:r>
    </w:p>
    <w:p w14:paraId="288A304D" w14:textId="77777777" w:rsidR="00000893" w:rsidRPr="00FE1374" w:rsidRDefault="00000893">
      <w:pPr>
        <w:spacing w:after="80"/>
        <w:rPr>
          <w:rFonts w:ascii="Times New Roman" w:hAnsi="Times New Roman" w:cs="Times New Roman"/>
        </w:rPr>
      </w:pPr>
    </w:p>
    <w:p w14:paraId="586BD203" w14:textId="77777777" w:rsidR="00000893" w:rsidRPr="00FE1374" w:rsidRDefault="00263F1F">
      <w:pPr>
        <w:pStyle w:val="Heading2"/>
        <w:spacing w:before="360" w:after="120"/>
        <w:rPr>
          <w:rFonts w:ascii="Times New Roman" w:hAnsi="Times New Roman" w:cs="Times New Roman"/>
        </w:rPr>
      </w:pPr>
      <w:r>
        <w:t>5.1 Introduction</w:t>
      </w:r>
    </w:p>
    <w:p w14:paraId="3B64A757"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What are the basic units of social reality? Do social phenomena ultimately derive from the actions and properties of individuals, or do groups, institutions, and collective arrangements possess a form of reality of their own that cannot be traced back to the individuals who compose them? This is the central question of the individuals and groups debate, and it is the first of four social ontological debates examined in this textbook. It comes first because it is the least abstract of the four debates and offers the most accessible entry point into the ontological questions that run through the chapters that follow: how structures relate to agency, whether material or ideational forces drive social life, and whether social mechanisms transcend or are immanent to specific historical configurations.</w:t>
      </w:r>
    </w:p>
    <w:p w14:paraId="1F747DD0"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The question has immediate consequences for research practice. An account of educational inequality that explains outcomes primarily through individual capacity, effort, and choice is making different ontological commitments from one that explains the same outcomes through institutional arrangements, cultural patterns, and collective constraints. Both accounts engage the same empirical world, but the ontological commitment that runs beneath each one shapes something more fundamental than the choice of variables: it shapes what counts as a cause, what kind of evidence is legible, and what explanations are even formulable. A researcher working within an individualist framework will find real things, genuine individual-level variation in skill, circumstance, and effort, but the collective-level forces, the institutional structures, the labour market arrangements, the historically accumulated concentrations of advantage and disadvantage, will fall outside what the framework can see. A researcher working within a collectivist framework faces the symmetrical limitation: individual variation, deviation, and transformation are equally real, and a framework that cannot accommodate them will produce accounts of reproduction without the tools to explain change. Becoming conscious of one's own ontological commitments, and developing the tools to identify them in the work of other researchers, is therefore not a philosophical exercise undertaken for its own sake. It is a condition of producing explanations that are adequate to what is actually going on.</w:t>
      </w:r>
    </w:p>
    <w:p w14:paraId="530B59CC"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The chapter proceeds as follows. Section 5.2 traces the philosophical depth of the debate and shows why the tension it captures is a genuine feature of social reality rather than a product of theoretical confusion. Section 5.3 maps the continuum between the two poles and specifies the explanatory burden that each pole immediately creates for anyone who holds it. Section 5.4 introduces three diagnostic questions that reveal how a position's commitments manifest in concrete research decisions, and shows what to do with the results. Section 5.5 locates key theoretical positions on the continuum using those diagnostic questions. Section 5.6 closes by drawing out what is at stake analytically and practically in the choices researchers make along this continuum, and identifies what the debate leaves open for the structure and agency analysis of Chapter 6.</w:t>
      </w:r>
    </w:p>
    <w:p w14:paraId="7580BAA7" w14:textId="77777777" w:rsidR="00000893" w:rsidRPr="00FE1374" w:rsidRDefault="00000893">
      <w:pPr>
        <w:spacing w:after="80"/>
        <w:rPr>
          <w:rFonts w:ascii="Times New Roman" w:hAnsi="Times New Roman" w:cs="Times New Roman"/>
        </w:rPr>
      </w:pPr>
    </w:p>
    <w:p w14:paraId="668586CF" w14:textId="77777777" w:rsidR="00000893" w:rsidRPr="00FE1374" w:rsidRDefault="00263F1F">
      <w:pPr>
        <w:pStyle w:val="Heading2"/>
        <w:spacing w:before="360" w:after="120"/>
        <w:rPr>
          <w:rFonts w:ascii="Times New Roman" w:hAnsi="Times New Roman" w:cs="Times New Roman"/>
        </w:rPr>
      </w:pPr>
      <w:r>
        <w:t>5.2 A Debate Rooted in Social Reality</w:t>
      </w:r>
    </w:p>
    <w:p w14:paraId="2B91B3DA"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The individuals and groups debate has been a central preoccupation of social thought for centuries, and it has persisted not because the question has been ignored but because it represents a genuine feature of social reality. Two observations about social life are simultaneously true and in tension with one another, and no social theory can afford to ignore either of them. The first is that it is individual human beings who act, who choose, who suffer, and who make social life happen. The second is that individuals are born into and act within collective arrangements, institutions, cultures, economies, histories, that they did not make and often cannot individually alter. The question of how these two observations relate, where explanatory priority lies and what mechanism connects the two levels, is what the debate is about. The philosophical history that runs through this debate is not mere background. It is the record of successive attempts to establish, with precision, what each observation actually implies.</w:t>
      </w:r>
    </w:p>
    <w:p w14:paraId="0FAD8751" w14:textId="77777777" w:rsidR="00000893" w:rsidRPr="00FE1374" w:rsidRDefault="00263F1F">
      <w:pPr>
        <w:pStyle w:val="Heading3"/>
        <w:spacing w:before="360" w:after="120"/>
        <w:rPr>
          <w:rFonts w:ascii="Times New Roman" w:hAnsi="Times New Roman" w:cs="Times New Roman"/>
        </w:rPr>
      </w:pPr>
      <w:r>
        <w:t>5.2.1 The Philosophical Roots: The Problem of Universals</w:t>
      </w:r>
    </w:p>
    <w:p w14:paraId="0F2CEF18"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The deepest philosophical background to the individuals and groups debate lies in the medieval problem of universals. The question sounds technical but its stakes are immediate: when we use a general term like "human being," "class," "institution," or "the Church," are we naming something that exists in its own right, or are we applying a convenient label to a collection of individuals who happen to resemble one another? This is not a debate between those who believe in reality and those who do not. Both sides hold that individual things exist robustly and mind-independently. The disagreement is about whether anything additional exists alongside them.</w:t>
      </w:r>
    </w:p>
    <w:p w14:paraId="49DD15D4"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Aquinas, developing Aristotle's account of form, argued that what members of a kind share is a real property of that kind, not merely a name imposed from outside. When we say that Socrates and Aristotle are both human beings, we are not just noting a resemblance between two otherwise unrelated individuals; we are identifying something genuinely common to them, something real that is present in and active through each of them. To explain what a thing does requires grasping the form it instantiates, and that form belongs to the kind rather than to any individual alone. Applied to social life, this line of reasoning opens the possibility that collective entities like institutions, classes, or cultures possess real properties of their own, properties that belong to the collective as such and that cannot be derived from inspecting any individual member in isolation.</w:t>
      </w:r>
    </w:p>
    <w:p w14:paraId="419B4300" w14:textId="34D3C458"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William of Ockham, a nominalist, accepted that individual things exist fully and mind-independently, but denied that there is anything further, any universal form, any shared essence, that corresponds to the general term we use to group them. The word "humanity" is a name, a nomen, that we apply to a collection of individuals on the basis of their resemblance; it does not pick out a real entity over and above those individuals. There is no form of humanness hovering behind Socrates and Aristotle; there are only Socrates and Aristotle, and the term we use for both. From this Ockham derived a methodological principle of far-reaching consequence: do not posit the existence of an entity unless you have specific grounds in reason, experience, or authority for doing so. This is Ockham's razor. Applied to social life, it becomes a demand for justification: whoever wishes to treat a collective as a real entity with its own causal powers must show what grounds they have. The explanatory work must either be done by individuals and their relations, or the collective entity must earn its place by doing something that individual-level concepts cannot.</w:t>
      </w:r>
    </w:p>
    <w:p w14:paraId="7C6640CC"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What is striking is that both Durkheim and Weber are operating on precisely this terrain, and the individuals and groups debate in social science is in large part the continuation of this medieval dispute by other means. Durkheim's strategy in the study of suicide is to provide exactly the experiential grounds the razor demands: suicide rates vary systematically with properties of social groups in ways that cannot be accounted for at the individual level, and this gives him grounds for treating social facts as real entities with their own causal powers (Durkheim, 1895/1982). Weber's refusal to posit the state as an entity over and above individual action is an equal and opposite application of the same standard: collective concepts like the state or capitalism are useful analytical constructs, but they name nothing that exists independently of the individuals whose conduct makes them applicable (Weber, 1922/1968). The razor does not settle the debate; it sets the terms on which both sides must argue.</w:t>
      </w:r>
    </w:p>
    <w:p w14:paraId="79D0BE3A"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 xml:space="preserve">When social scientists formalised these positions in their own domain, the medieval question about universals became the opposition between </w:t>
      </w:r>
      <w:r>
        <w:rPr>
          <w:rFonts w:ascii="Times New Roman" w:hAnsi="Times New Roman" w:cs="Times New Roman"/>
          <w:b/>
          <w:bCs/>
        </w:rPr>
        <w:t>atomism</w:t>
      </w:r>
      <w:r>
        <w:rPr>
          <w:rFonts w:ascii="Times New Roman" w:hAnsi="Times New Roman" w:cs="Times New Roman"/>
        </w:rPr>
        <w:t xml:space="preserve"> and </w:t>
      </w:r>
      <w:r>
        <w:rPr>
          <w:rFonts w:ascii="Times New Roman" w:hAnsi="Times New Roman" w:cs="Times New Roman"/>
          <w:b/>
          <w:bCs/>
        </w:rPr>
        <w:t>holism</w:t>
      </w:r>
      <w:r>
        <w:rPr>
          <w:rFonts w:ascii="Times New Roman" w:hAnsi="Times New Roman" w:cs="Times New Roman"/>
        </w:rPr>
        <w:t>. Atomism holds that social reality is composed of discrete, separable individuals whose properties can be specified independently of their relations to others: relations between individuals are external, connecting entities that are already fully constituted prior to and independently of those connections. Holism holds that the properties of any element depend on the whole to which it belongs and the relations that constitute that whole: relations are internal, partly constituting the entities they connect, so that what a person is cannot be specified independently of the social arrangements through which they have come to be what they are. These positions do not map perfectly onto the medieval debate — a thoroughgoing nominalist can consistently acknowledge that relations between individuals are partly constitutive of what those individuals become, which is itself a holist claim — but they carry the same underlying question into the domain where it matters for social research: do collective categories name entities with their own real properties and causal powers, or are those apparent properties ultimately reducible to the properties of individuals?</w:t>
      </w:r>
    </w:p>
    <w:p w14:paraId="581EBB78" w14:textId="77777777" w:rsidR="00000893" w:rsidRPr="00FE1374" w:rsidRDefault="00263F1F">
      <w:pPr>
        <w:pStyle w:val="Heading3"/>
        <w:spacing w:before="360" w:after="120"/>
        <w:rPr>
          <w:rFonts w:ascii="Times New Roman" w:hAnsi="Times New Roman" w:cs="Times New Roman"/>
        </w:rPr>
      </w:pPr>
      <w:r>
        <w:t>5.2.2 Two Compelling Traditions</w:t>
      </w:r>
    </w:p>
    <w:p w14:paraId="2E0AC2F0"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The philosophical debate found its concrete expression in two major traditions of social thought, each of which developed sophisticated and internally coherent accounts of social life. Understanding what makes each tradition compelling, on its own terms, is a precondition for understanding why the debate between them has not been settled by the victory of one side.</w:t>
      </w:r>
    </w:p>
    <w:p w14:paraId="6DE52A95" w14:textId="15E36700"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The individualist tradition found its modern foundations in Enlightenment philosophy and classical political economy. Thomas Hobbes argued that without a sovereign authority to impose order, life among individuals pursuing their own interests would be violent and ungovernable, or as he famously phrased it "solitary, poor, nasty, brutish, and short", and that legitimate government therefore derives from the rational consent of individuals who surrender some freedom to secure the rest (Hobbes, 1651/1996). The collective, the state, is created by and for individuals and has no authority that does not ultimately derive from their prior agreement. John Locke grounded individual rights in a theory of natural property: through their labour individuals acquire ownership of what they work upon, and this property exists prior to and independently of any collective authority, which is therefore constrained by rights it did not create (Locke, 1689/1988). Adam Smith argued that market outcomes, which appear to be the product of collective design, are generated by the uncoordinated actions of individual buyers and sellers each pursuing their own interest, producing results that no individual planned or intended (Smith, 1776/1976). In each case the explanatory direction is the same: collective patterns are outputs of individual action, not properties of real collective entities.</w:t>
      </w:r>
    </w:p>
    <w:p w14:paraId="0B9F7537" w14:textId="22C01F30"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In nineteenth and twentieth century social science, this tradition was formalised as methodological individualism, the thesis that all social phenomena are in principle explicable through individual-level processes. Max Weber, despite his close attention to institutional context and cultural frameworks, insisted that sociology must ultimately refer to the meaningful action of individual persons (Weber, 1922/1968). Collective concepts like "capitalism" or "the state" are useful analytical constructs, but their ontological status is derivative: they are ways of organising our analysis of what individuals do, not names for entities that exist independently of those individuals. In the twentieth century, Jon Elster gave the methodological individualist position its sharpest formulation: all adequate social explanation must specify the micro-level mechanism, the individual beliefs, desires, and actions, through which macro-level patterns are produced (Elster, 1989). What makes this tradition compelling is not only its philosophical coherence but its practical force: no collective decides, suffers, or chooses except through the conduct of persons, and any explanation that loses sight of this risks treating abstractions as if they were agents.</w:t>
      </w:r>
    </w:p>
    <w:p w14:paraId="7F6085C9"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 xml:space="preserve">The collectivist tradition tracked the second observation with equal sophistication. Hegel's contribution is foundational but often read too narrowly. In the Phenomenology of Spirit he argues that individual self-consciousness is not a pre-social given but is constituted through relations of recognition with others: we come to know ourselves as subjects only through encounter with other subjects, so that the social whole is the condition of possibility for individuals becoming what they are (Hegel, 1807/1977). But it is in the Philosophy of Right that Hegel develops the specifically social ontology that the collectivist tradition inherits. There he argues that ethical life, </w:t>
      </w:r>
      <w:r>
        <w:rPr>
          <w:rFonts w:ascii="Times New Roman" w:hAnsi="Times New Roman" w:cs="Times New Roman"/>
          <w:i/>
          <w:iCs/>
        </w:rPr>
        <w:t>Sittlichkeit</w:t>
      </w:r>
      <w:r>
        <w:rPr>
          <w:rFonts w:ascii="Times New Roman" w:hAnsi="Times New Roman" w:cs="Times New Roman"/>
        </w:rPr>
        <w:t>, is realised through three collective forms, the family, civil society, and the state, each of which has its own internal logic and properties that are not reducible to the intentions or characteristics of the individuals who compose it. The state, for Hegel, is not a contract among pre-existing individuals but the highest expression of the collective life through which individuals achieve genuine freedom: individuals are what they are through their membership in these collective forms, not prior to it (Hegel, 1952). This is the deepest philosophical statement of the collectivist position, and it is what gives holism in social science its strongest philosophical anchor.</w:t>
      </w:r>
    </w:p>
    <w:p w14:paraId="34F962D0"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Auguste Comte argued that society exhibits systemic properties and developmental laws that operate above individual psychology and cannot be derived from it (Comte, 1830-1842/1975). Emile Durkheim gave the collectivist position its most methodologically precise formulation. Social facts exist exterior to individuals, exercise coercive constraint over individual conduct, and exhibit statistical regularities at the collective level that individual-level analysis cannot explain (Durkheim, 1895/1982). His study of suicide was designed to demonstrate this exactly: suicide rates vary systematically with properties of social groups, such as the degree of social integration, in ways that cannot be accounted for by aggregating individual psychological states. The rate is a property of the group, not of any individual, and it exerts a probabilistic pressure on individuals that no individual fully controls or comprehends. What makes this tradition compelling is equally practical: people are born into arrangements they did not make, constrained by rules they cannot individually alter, and shaped by histories that precede them by generations. An explanation that cannot account for this is missing something real. It is worth noting that at the point where this debate presses hardest, how collective arrangements constrain individual conduct, and how individual action in turn reproduces or transforms those arrangements, it opens directly onto the structure and agency debate that Chapter 6 addresses.</w:t>
      </w:r>
    </w:p>
    <w:p w14:paraId="5E508387" w14:textId="77777777" w:rsidR="00000893" w:rsidRPr="00FE1374" w:rsidRDefault="00263F1F">
      <w:pPr>
        <w:pStyle w:val="Heading3"/>
        <w:spacing w:before="360" w:after="120"/>
        <w:rPr>
          <w:rFonts w:ascii="Times New Roman" w:hAnsi="Times New Roman" w:cs="Times New Roman"/>
        </w:rPr>
      </w:pPr>
      <w:r>
        <w:t>5.2.3 The Persistence of the Tension</w:t>
      </w:r>
    </w:p>
    <w:p w14:paraId="51D2B433"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By the early twentieth century both traditions had accumulated substantial theoretical development and strong empirical programmes. The subsequent history of social thought is largely a record of sophisticated attempts to combine their insights without simply asserting that both levels matter. That this has proven so difficult is itself the evidence that the debate tracks something real.</w:t>
      </w:r>
    </w:p>
    <w:p w14:paraId="1B57E06C"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Talcott Parsons devoted decades to a synthesis that would connect individual meaningful action with collective functional requirements (Parsons, 1951). The ambition was to show that individual action is oriented toward values and norms that are themselves collective-level properties, and that these properties serve systemic functions that maintain the social whole. The result was widely judged to have absorbed the individual into the system: individual agency became the execution of collective functional requirements, and the account struggled to explain social change, conflict, and deviation as anything other than residual pathologies.</w:t>
      </w:r>
    </w:p>
    <w:p w14:paraId="15494530"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Anthony Giddens proposed a more radical solution: refusing the analytical separation between collective structures and individual action altogether (Giddens, 1984). Structures, he argued, do not exist independently of the practices through which they are reproduced; they are both the medium and the outcome of individual conduct. This structuration theory influenced a generation of social theorists, but it generated a pointed question: if structures exist only in their instantiation in practice, how can they constrain individuals in ways those individuals experience as genuinely external and prior to their own activity?</w:t>
      </w:r>
    </w:p>
    <w:p w14:paraId="36EFED86"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Each of these attempts represents a genuine theoretical advance, and each, as Section 5.5 will show, retains its own residual tension with the pole it does not privilege. What matters here is the pattern: each successive attempt to dissolve the debate by asserting mutual constitution, or functional integration, or temporal sequencing, has generated its own set of difficulties rather than making the original question disappear. The persistence of those difficulties across very different theoretical programmes is itself the evidence that the debate represents something real about social life. The rest of this chapter develops the tools for engaging that reality with the precision the question demands.</w:t>
      </w:r>
    </w:p>
    <w:p w14:paraId="2D77F22A" w14:textId="77777777" w:rsidR="00000893" w:rsidRPr="00FE1374" w:rsidRDefault="00000893">
      <w:pPr>
        <w:spacing w:after="80"/>
        <w:rPr>
          <w:rFonts w:ascii="Times New Roman" w:hAnsi="Times New Roman" w:cs="Times New Roman"/>
        </w:rPr>
      </w:pPr>
    </w:p>
    <w:p w14:paraId="6D920FD8" w14:textId="77777777" w:rsidR="00000893" w:rsidRPr="00FE1374" w:rsidRDefault="00263F1F">
      <w:pPr>
        <w:pStyle w:val="Heading2"/>
        <w:spacing w:before="360" w:after="120"/>
        <w:rPr>
          <w:rFonts w:ascii="Times New Roman" w:hAnsi="Times New Roman" w:cs="Times New Roman"/>
        </w:rPr>
      </w:pPr>
      <w:r>
        <w:t>5.3 The Continuum: Poles and Explanatory Burdens</w:t>
      </w:r>
    </w:p>
    <w:p w14:paraId="1776C277"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The individuals and groups debate can be understood as a continuum anchored at each end by a polar position. The poles represent the most coherent and consistent versions of each side, and understanding what each pole actually claims, and what problem it immediately creates, is essential before any more complex middle-ground position can be evaluated. A middle-ground position is only analytically meaningful if it can be shown to avoid the specific burdens of each pole rather than simply asserting that both levels matter.</w:t>
      </w:r>
    </w:p>
    <w:p w14:paraId="420EFF69"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The question anchoring the continuum concerns the relationship between wholes and parts. In social analysis, wholes refer to collectives: groups, institutions, organisations, classes, cultures, and any arrangement that involves more than one person. Parts refer to the individual members, actors, and persons who compose those collectives. The fundamental question is where causal priority lies and in which direction explanation should ultimately run.</w:t>
      </w:r>
    </w:p>
    <w:p w14:paraId="5469311D"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 xml:space="preserve">At the </w:t>
      </w:r>
      <w:r>
        <w:rPr>
          <w:rFonts w:ascii="Times New Roman" w:hAnsi="Times New Roman" w:cs="Times New Roman"/>
          <w:b/>
          <w:bCs/>
        </w:rPr>
        <w:t>collectivist pole</w:t>
      </w:r>
      <w:r>
        <w:rPr>
          <w:rFonts w:ascii="Times New Roman" w:hAnsi="Times New Roman" w:cs="Times New Roman"/>
        </w:rPr>
        <w:t>, the whole is real in its own right and is ontologically prior to the parts. Individuals are what they are because of the collective arrangements they inhabit. The language, the cultural frameworks, the institutional positions, the economic relations, the normative expectations: all of these are properties of the collective that pre-exist any particular individual and shape who that individual can become, what they can think, and what courses of action are available to them. Explaining individual behaviour therefore requires showing how it is enabled and constrained by properties of the whole that no individual member fully controls or comprehends. The collective has causal powers that are not simply the sum of the causal powers of its members.</w:t>
      </w:r>
    </w:p>
    <w:p w14:paraId="628E1ACC"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Taking the collectivist pole as primary immediately creates a specific explanatory burden. If collectives are ontologically prior and individuals derive their properties from collective arrangements, the account must explain how genuine individual variation, resistance, and transformation are possible. People deviate from what their social position would predict; they transform the institutions they inhabit; they resist and renegotiate the cultural scripts assigned to them. An account that cannot explain these phenomena without reducing them to concealed collective determination has not discharged the burden its position creates.</w:t>
      </w:r>
    </w:p>
    <w:p w14:paraId="00A6E838"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 xml:space="preserve">At the </w:t>
      </w:r>
      <w:r>
        <w:rPr>
          <w:rFonts w:ascii="Times New Roman" w:hAnsi="Times New Roman" w:cs="Times New Roman"/>
          <w:b/>
          <w:bCs/>
        </w:rPr>
        <w:t>individualist pole</w:t>
      </w:r>
      <w:r>
        <w:rPr>
          <w:rFonts w:ascii="Times New Roman" w:hAnsi="Times New Roman" w:cs="Times New Roman"/>
        </w:rPr>
        <w:t>, the whole is derivative of the parts. Collective patterns are ultimately aggregations or emergent results of individual characteristics, decisions, and interactions. Explaining any collective phenomenon requires showing how it arises from individual-level mechanisms: the beliefs, preferences, capacities, and strategic interactions of individual persons. Collectives have no causal powers that are not constituted by the causal powers of their members operating in relation to one another.</w:t>
      </w:r>
    </w:p>
    <w:p w14:paraId="1E27533C"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Taking the individualist pole as primary creates the symmetrical explanatory burden. If individuals are the primary entities and collectives are derivative, the account must explain how genuine collective properties arise from individual-level processes. Collective properties often exhibit features that resist reduction to individual-level processes. They persist despite the complete turnover of membership: the university, the legal system, and the labour market each continue to function and exert the same kinds of pressure on individual participants even as the individuals who compose them change entirely over generations. They constrain individuals who did not create them and cannot individually alter them: a single worker cannot unilaterally change the wage relation any more than a single speaker can unilaterally alter the grammar of a language. An individualist account that cannot specify the mechanism through which individual-level processes generate these collective-level properties has not discharged its burden.</w:t>
      </w:r>
    </w:p>
    <w:p w14:paraId="65B0E2B0"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Most positions in social research sit closer to one pole than the other, and the primary analytical task when approaching any account is to identify which direction of explanation it privileges when forced to choose. Many accounts appear to invoke both levels simultaneously, and the question is whether this invocation is analytically specified or merely rhetorical. Saying that "both individuals and structures matter" is not a position on the continuum; it is a suspension of the question. A genuine position, however complex, must specify the mechanism through which individuals generate collective properties and through which collective arrangements shape individual conduct. The following section introduces the analytical tools for extracting that specification from any account.</w:t>
      </w:r>
    </w:p>
    <w:p w14:paraId="4DF560A0" w14:textId="77777777" w:rsidR="00000893" w:rsidRPr="00FE1374" w:rsidRDefault="00000893">
      <w:pPr>
        <w:spacing w:after="80"/>
        <w:rPr>
          <w:rFonts w:ascii="Times New Roman" w:hAnsi="Times New Roman" w:cs="Times New Roman"/>
        </w:rPr>
      </w:pPr>
    </w:p>
    <w:p w14:paraId="5988C4D2" w14:textId="77777777" w:rsidR="00000893" w:rsidRPr="00FE1374" w:rsidRDefault="00263F1F">
      <w:pPr>
        <w:pStyle w:val="Heading2"/>
        <w:spacing w:before="360" w:after="120"/>
        <w:rPr>
          <w:rFonts w:ascii="Times New Roman" w:hAnsi="Times New Roman" w:cs="Times New Roman"/>
        </w:rPr>
      </w:pPr>
      <w:r>
        <w:t>5.4 Diagnostic Questions: How Positions Manifest in Analysis</w:t>
      </w:r>
    </w:p>
    <w:p w14:paraId="6EF39F4D"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The continuum established in Section 5.3 poses the debate at its most fundamental level. But the same fundamental commitment can manifest differently across the concrete analytical decisions that researchers make. The three diagnostic questions introduced here are tools for revealing those manifestations: each begins from a question that a careful reader of social research naturally asks, and shows how the answer to that question provides evidence about where on the continuum an account sits. Working through the three diagnostic questions on any given text produces a set of findings that, taken together, allow a precise location of that text on the continuum and a clear identification of where its explanatory burden is most acute.</w:t>
      </w:r>
    </w:p>
    <w:p w14:paraId="13334636" w14:textId="77777777" w:rsidR="00000893" w:rsidRPr="00FE1374" w:rsidRDefault="00263F1F">
      <w:pPr>
        <w:pStyle w:val="Heading3"/>
        <w:spacing w:before="360" w:after="120"/>
        <w:rPr>
          <w:rFonts w:ascii="Times New Roman" w:hAnsi="Times New Roman" w:cs="Times New Roman"/>
        </w:rPr>
      </w:pPr>
      <w:r>
        <w:t>5.4.1 Who Are the Core Agents, and What Is the Group to Them?</w:t>
      </w:r>
    </w:p>
    <w:p w14:paraId="3119350C"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The first question begins with a deceptively simple question: who are the core agents in the account, and how does the author treat the relationship between those agents and the groups or collectives to which they belong?</w:t>
      </w:r>
    </w:p>
    <w:p w14:paraId="2F14E660"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The first part asks about individuation. How does the author establish who counts as an agent? Are agents treated as individual persons, each with their own beliefs, desires, and interpretations of their situation? Or are agents explained primarily by reference to the category they occupy: their class position, their institutional role, their demographic group? An account that explains what people do primarily by reference to their collective category is already leaning toward the collectivist pole, because it treats the collective category as more explanatorily fundamental than the individual person.</w:t>
      </w:r>
    </w:p>
    <w:p w14:paraId="4FD6C29F"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The second part asks about group ontology. Does the author treat the group as something more than the sum of its members? Does the group have properties, pressures, or a logic of its own that no individual member fully controls or understands? A trade union has accumulated commitments, a bureaucratic structure, and a relationship to employers that is not fully captured by describing the current beliefs and preferences of any particular set of members. A religious community has theological traditions, ritual practices, and institutional forms that pre-exist and outlast any particular generation of believers. If the author treats these collective properties as real and causally efficacious, they are making a collectivist commitment regardless of the language they use.</w:t>
      </w:r>
    </w:p>
    <w:p w14:paraId="7CF52E1E"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The diagnostic value of this question lies in the gap it can reveal between what an account claims and what it does. An author might claim to be explaining individual behaviour while in practice explaining it almost entirely by reference to collective position. This gap is most visible in accounts that claim to integrate both levels: an author might describe the behaviour of individuals in some detail while still treating that behaviour as fully determined by structural position, leaving individual interpretation and deliberation with no real causal role. Conversely, an author might invoke collective entities as causes while in practice tracing every outcome to the decisions of specific individuals, with collective properties functioning as labels rather than as causally active features of the analysis. Attending carefully to who or what is actually doing the explanatory work, the person, the position, or the collective arrangement, is how this question makes that gap visible.</w:t>
      </w:r>
    </w:p>
    <w:p w14:paraId="64F7255D" w14:textId="77777777" w:rsidR="00000893" w:rsidRPr="00FE1374" w:rsidRDefault="00263F1F">
      <w:pPr>
        <w:pStyle w:val="Heading3"/>
        <w:spacing w:before="360" w:after="120"/>
        <w:rPr>
          <w:rFonts w:ascii="Times New Roman" w:hAnsi="Times New Roman" w:cs="Times New Roman"/>
        </w:rPr>
      </w:pPr>
      <w:r>
        <w:t>5.4.2 What Is the Mechanism, and in Which Direction Does It Run?</w:t>
      </w:r>
    </w:p>
    <w:p w14:paraId="78615359"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The second question is the most decisive for locating an account on the continuum: does the author specify a mechanism through which individual action produces collective-level properties, or through which collective arrangements shape individual conduct, or both? And in which direction does the mechanism primarily run?</w:t>
      </w:r>
    </w:p>
    <w:p w14:paraId="48C7731E"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A mechanism running primarily from collective to individual points toward the collectivist pole. The collective arrangement is what needs to be understood first; individual behaviour is explained by reference to it. A mechanism running primarily from individual to collective points toward the individualist pole. Individual action is causally prior; the collective pattern is what it produces and therefore what needs to be explained.</w:t>
      </w:r>
    </w:p>
    <w:p w14:paraId="2698346B"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Accounts that claim both directions must specify something further. Do the two directions operate simultaneously, with collective conditions and individual action mutually constituting each other in the same moment of practice? Or do they operate in temporal sequence, with collective conditions shaping individuals first and individual action then modifying collective arrangements in a subsequent phase? This distinction matters because an account that treats the two directions as simultaneous cannot use the prior existence of collective arrangements to explain why individual action takes the form it does, since the collective arrangement only exists through the very individual action being explained. An account that treats them as sequential can specify what individuals encounter as pre-existing constraint, but must then explain how individual action feeds back to modify those conditions rather than simply reproducing them indefinitely.</w:t>
      </w:r>
    </w:p>
    <w:p w14:paraId="381FC3A4" w14:textId="77777777" w:rsidR="00000893" w:rsidRPr="00FE1374" w:rsidRDefault="00263F1F">
      <w:pPr>
        <w:pStyle w:val="Heading3"/>
        <w:spacing w:before="360" w:after="120"/>
        <w:rPr>
          <w:rFonts w:ascii="Times New Roman" w:hAnsi="Times New Roman" w:cs="Times New Roman"/>
        </w:rPr>
      </w:pPr>
      <w:r>
        <w:t>5.4.3 Are Functions or Behaviours Doing the Explanatory Work?</w:t>
      </w:r>
    </w:p>
    <w:p w14:paraId="35A12B18"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The third question asks whether the account explains collective patterns by reference to the functions they serve for the system as a whole, or by reference to the observable conduct of individual actors.</w:t>
      </w:r>
    </w:p>
    <w:p w14:paraId="02FEFA42"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 xml:space="preserve">A </w:t>
      </w:r>
      <w:r>
        <w:rPr>
          <w:rFonts w:ascii="Times New Roman" w:hAnsi="Times New Roman" w:cs="Times New Roman"/>
          <w:b/>
          <w:bCs/>
        </w:rPr>
        <w:t>functional</w:t>
      </w:r>
      <w:r>
        <w:rPr>
          <w:rFonts w:ascii="Times New Roman" w:hAnsi="Times New Roman" w:cs="Times New Roman"/>
        </w:rPr>
        <w:t xml:space="preserve"> account explains why a practice, institution, or role exists and persists by reference to what it does for the collective arrangement it belongs to. Practices persist because they fulfil systemic requirements; individual participants engage in them because the collective arrangement requires their performance, whether or not those participants are aware of this. This logic tends toward the collectivist pole because it treats collective requirements as explanatorily prior to individual conduct.</w:t>
      </w:r>
    </w:p>
    <w:p w14:paraId="0AD374D8"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 xml:space="preserve">A </w:t>
      </w:r>
      <w:r>
        <w:rPr>
          <w:rFonts w:ascii="Times New Roman" w:hAnsi="Times New Roman" w:cs="Times New Roman"/>
          <w:b/>
          <w:bCs/>
        </w:rPr>
        <w:t>behavioural</w:t>
      </w:r>
      <w:r>
        <w:rPr>
          <w:rFonts w:ascii="Times New Roman" w:hAnsi="Times New Roman" w:cs="Times New Roman"/>
        </w:rPr>
        <w:t xml:space="preserve"> account explains collective patterns by reference to what individual actors do, decide, and intend. If institutions persist, it is because individual people make decisions that reproduce them. If practices are widespread, it is because individuals find reasons, given their preferences and their reading of their situation, to engage in them. This logic tends toward the individualist pole because individual action is the only legitimate explanatory starting point.</w:t>
      </w:r>
    </w:p>
    <w:p w14:paraId="6D364528"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The diagnostic value of this question is that functional and behavioural logics can coexist within the same account while pulling in different directions. An author might describe individual behaviour in behavioural terms while explaining why that behaviour takes the form it does in functional terms. Many accounts that appear integrative work this way: they acknowledge individual action but explain its persistence and direction by reference to systemic requirements, which is a functional logic even when the vocabulary of function is absent. Identifying which logic is carrying the primary explanatory weight, when the account is pressed on why patterns persist and why individuals act as they do, reveals where on the continuum the account actually sits.</w:t>
      </w:r>
    </w:p>
    <w:p w14:paraId="5607F353" w14:textId="77777777" w:rsidR="00000893" w:rsidRPr="00FE1374" w:rsidRDefault="00263F1F">
      <w:pPr>
        <w:pStyle w:val="Heading3"/>
        <w:spacing w:before="360" w:after="120"/>
        <w:rPr>
          <w:rFonts w:ascii="Times New Roman" w:hAnsi="Times New Roman" w:cs="Times New Roman"/>
        </w:rPr>
      </w:pPr>
      <w:r>
        <w:t>5.4.4 Reading the Findings Together</w:t>
      </w:r>
    </w:p>
    <w:p w14:paraId="0A0EA5FA"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Working through the three diagnostic questions on any given text produces a set of concrete findings: which pole the account's agents and groups point toward; which direction the mechanism runs, and whether it operates simultaneously or in temporal sequence; and whether functional or behavioural logic is carrying the primary explanatory weight. The analytical task is then to read these findings together.</w:t>
      </w:r>
    </w:p>
    <w:p w14:paraId="6F020DBB"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When the findings are consistent across all three questions, agents individuated as persons, mechanism running from individual to collective, behavioural explanatory logic, the account sits clearly toward the individualist pole, and its explanatory burden concerns how it accounts for the persistent and emergent properties of collectives. When the findings consistently point the other way, agents explained through collective position, mechanism running from collective to individual, functional explanatory logic, the account sits toward the collectivist pole, and its burden concerns how it accounts for individual variation and transformation.</w:t>
      </w:r>
    </w:p>
    <w:p w14:paraId="3CD5BBB1"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The harder and more common case is inconsistency across the three questions. An account may individuate agents as persons while explaining their behaviour through a functional logic; it may specify a bidirectional mechanism while treating the collective-to-individual direction as so dominant that individual feedback is effectively noise. These inconsistencies are not simply errors. They are the points where the account's explanatory burden is sharpest, where the commitments of one pole are smuggled in to resolve the difficulties created by the other. A practical aid for students navigating this: when an account seems to invoke both levels but is pressed on a hard case, a moment of structural change, or an individual who deviates from what their position would predict, observe which level the explanation reaches for first. That is where the account's ontological weight actually lies.</w:t>
      </w:r>
    </w:p>
    <w:p w14:paraId="6E8E3968" w14:textId="77777777" w:rsidR="00000893" w:rsidRPr="00FE1374" w:rsidRDefault="00000893">
      <w:pPr>
        <w:spacing w:after="80"/>
        <w:rPr>
          <w:rFonts w:ascii="Times New Roman" w:hAnsi="Times New Roman" w:cs="Times New Roman"/>
        </w:rPr>
      </w:pPr>
    </w:p>
    <w:p w14:paraId="613D4F41" w14:textId="77777777" w:rsidR="00000893" w:rsidRPr="00FE1374" w:rsidRDefault="00263F1F">
      <w:pPr>
        <w:pStyle w:val="Heading2"/>
        <w:spacing w:before="360" w:after="120"/>
        <w:rPr>
          <w:rFonts w:ascii="Times New Roman" w:hAnsi="Times New Roman" w:cs="Times New Roman"/>
        </w:rPr>
      </w:pPr>
      <w:r>
        <w:t>5.5 Positions on the Continuum</w:t>
      </w:r>
    </w:p>
    <w:p w14:paraId="08164FDA"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The positions examined here occupy meaningfully different points on the continuum and have each exerted substantial influence on how social researchers think about the relationship between individuals and groups. For each position the analysis follows the same sequence: what the position claims, where the three diagnostic questions locate it, and where it faces the explanatory pressure that comes from the pole it does not privilege. Several of these positions will be revisited in Chapter 6, where the structure and agency debate opens a different and complementary set of questions.</w:t>
      </w:r>
    </w:p>
    <w:p w14:paraId="5B020C80" w14:textId="77777777" w:rsidR="00000893" w:rsidRPr="00FE1374" w:rsidRDefault="00263F1F">
      <w:pPr>
        <w:pStyle w:val="Heading3"/>
        <w:spacing w:before="360" w:after="120"/>
        <w:rPr>
          <w:rFonts w:ascii="Times New Roman" w:hAnsi="Times New Roman" w:cs="Times New Roman"/>
        </w:rPr>
      </w:pPr>
      <w:r>
        <w:t>5.5.1 Rational Choice Theory: Coleman</w:t>
      </w:r>
    </w:p>
    <w:p w14:paraId="78A66E14"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James Coleman's rational choice theory sits toward the individualist pole (Coleman, 1990). The foundational commitment is that individuals are the primary units of social analysis: each is treated as a purposive actor who holds preferences and pursues them by selecting among available courses of action. Collective outcomes, in whatever form they take, are to be explained by showing how they are generated by the aggregated choices of individually rational actors. Coleman was explicit about this explanatory direction. He visualised it as a movement from macro-level social conditions, through their effects on individual actors, to the decisions those actors make, and then from those decisions, through mechanisms of aggregation, to the macro-level outcomes that result.</w:t>
      </w:r>
    </w:p>
    <w:p w14:paraId="23D9DE78"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Applying the first question: the core agents in Coleman's accounts are individual persons whose preferences are the explanatory starting point. Groups enter as opportunity structures, as contexts within which individuals pursue their goals, not as entities with properties irreducible to those of their members. The group has no logic of its own that operates independently of the preferences of the individuals who compose it.</w:t>
      </w:r>
    </w:p>
    <w:p w14:paraId="783855F7"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Applying the second question: the mechanism runs primarily from individuals to collectives. Preferences and strategic interactions aggregate into collective patterns, and the explanatory task is to specify the aggregation mechanism precisely. Coleman allows that collective arrangements then shape the situations individual actors face, but this feedback is understood as a change in the opportunity structure available to individuals, not as a change in the individuals themselves. The collective arrangement shapes what choices are available; it does not shape the preferences that drive choice.</w:t>
      </w:r>
    </w:p>
    <w:p w14:paraId="2446E3A9"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Applying the third question: the framework is strongly behavioural. Institutions persist because individuals continue to make choices that reproduce them given existing incentive structures. Apparent functional explanations must be reformulated as accounts of how rational individuals happen to produce the relevant pattern through their strategic interaction (Elster, 1979).</w:t>
      </w:r>
    </w:p>
    <w:p w14:paraId="4E9898B2"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The explanatory pressure on this position is most visible where Coleman attempts to account for the persistence of norms that individual actors would not rationally choose to maintain. His account of social capital as a by-product of relationships formed for other purposes begins to gesture toward collective-level properties not fully derivable from individual preferences (Coleman, 1988). A deeper difficulty concerns aggregation itself: the move from individual rationality to collective rationality is not straightforward, as social choice theory demonstrates, and collective outcomes that no individual intended or endorses sit uneasily within a framework that treats the individual as the explanatory starting point. This is the point where the individualist explanatory burden is most acute.</w:t>
      </w:r>
    </w:p>
    <w:p w14:paraId="4F26B762" w14:textId="77777777" w:rsidR="00000893" w:rsidRPr="00FE1374" w:rsidRDefault="00263F1F">
      <w:pPr>
        <w:pStyle w:val="Heading3"/>
        <w:spacing w:before="360" w:after="120"/>
        <w:rPr>
          <w:rFonts w:ascii="Times New Roman" w:hAnsi="Times New Roman" w:cs="Times New Roman"/>
        </w:rPr>
      </w:pPr>
      <w:r>
        <w:t>5.5.2 Structural Functionalism: Parsons</w:t>
      </w:r>
    </w:p>
    <w:p w14:paraId="1B5618D3"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Talcott Parsons sits toward the collectivist pole. The social system has functional requirements that must be met for it to persist: adaptation to environment, achievement of collective goals, integration of members, and maintenance of cultural patterns (Parsons, 1951). Individual action is analysed in terms of how it contributes to satisfying these requirements. The values and norms that orient individual conduct are not produced by individuals but are internalised from collective culture through socialisation. Individuals become who they are by taking on the normative expectations of the collective arrangements they inhabit.</w:t>
      </w:r>
    </w:p>
    <w:p w14:paraId="5103118C"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Applying the first question: the core agents in Parsons's accounts are role-occupants: individuals whose conduct is explained primarily by the normative expectations attached to their institutional position. The group is emphatically more than the sum of its members. It has systemic properties and functional requirements that are irreducible to any individual contribution.</w:t>
      </w:r>
    </w:p>
    <w:p w14:paraId="7DC4F8DA"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Applying the second question: the mechanism runs primarily from collective to individual. Systemic requirements shape the normative frameworks that socialisation instils in individuals, and individual action is explained by showing how it fulfils, or deviates from, those requirements. The direction of causal priority is from the whole to the parts.</w:t>
      </w:r>
    </w:p>
    <w:p w14:paraId="088BD0F7"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Applying the third question: the framework is strongly functional. Institutions persist because they fulfil collective functions. Individual conduct persists in characteristic forms because it satisfies systemic requirements. The functional logic is carrying the primary explanatory weight.</w:t>
      </w:r>
    </w:p>
    <w:p w14:paraId="76DC3A51"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The explanatory pressure on this position is most visible in its difficulty accounting for social change and conflict. If collective arrangements persist because they satisfy functional requirements, and if individuals are socialised into orientations that support those requirements, the framework struggles to specify the source of the pressures that transform arrangements over time. Conflict and deviance appear as residual problems, failures of socialisation or system malfunction, rather than as phenomena the theory can explain at its core. This is a substantive limitation that David Lockwood pressed in his distinction between social integration and system integration: a framework that explains why arrangements hold together is not automatically equipped to explain why and how they come apart (Lockwood, 1964).</w:t>
      </w:r>
    </w:p>
    <w:p w14:paraId="79B6242B" w14:textId="77777777" w:rsidR="00000893" w:rsidRPr="00FE1374" w:rsidRDefault="00263F1F">
      <w:pPr>
        <w:pStyle w:val="Heading3"/>
        <w:spacing w:before="360" w:after="120"/>
        <w:rPr>
          <w:rFonts w:ascii="Times New Roman" w:hAnsi="Times New Roman" w:cs="Times New Roman"/>
        </w:rPr>
      </w:pPr>
      <w:r>
        <w:t>5.5.3 The Morphogenetic Approach: Archer</w:t>
      </w:r>
    </w:p>
    <w:p w14:paraId="5B96714B"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Margaret Archer's morphogenetic approach occupies the collectivist side of the continuum while insisting on the genuine causal efficacy of individual agency (Archer, 1995). Its central contribution to the individuals and groups debate is a layered account of social agents. People are human beings prior to their social positioning. Primary agents are collectivities sharing a structural position, such as a class or gender, who face similar conditions and life-chances regardless of whether they act collectively. Corporate agents are organised groups with collective self-awareness and the capacity for strategic action: trade unions, professional associations, social movements. The distinction matters because different kinds of collective entity have different causal powers, and the individuals/groups debate cannot be settled by a simple binary. Roles are positions within collective arrangements that carry properties belonging to the position rather than to the person: the powers of a judge pre-exist any particular judge. It is through roles that collective arrangements condition individuals, and through the aggregation of role-occupants sharing a structural position that primary agents become a real feature of social life even without collective voice.</w:t>
      </w:r>
    </w:p>
    <w:p w14:paraId="358524D6"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Applying the first question: the relevant agents are not a single undifferentiated category. The analysis must distinguish people, primary agents, and corporate agents. The group is more than the sum of its members: collective arrangements have emergent properties produced by historical processes that confront individuals as features of their situation.</w:t>
      </w:r>
    </w:p>
    <w:p w14:paraId="4FE2F05F"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Applying the second question: the mechanism is bidirectional and sequential. Collective arrangements causally precede individual action in any given cycle; individual and corporate action then feeds back to modify those arrangements in a subsequent phase. This sequential character is what preserves the analytical distinction between what agents encounter as constraint and what they produce through their conduct.</w:t>
      </w:r>
    </w:p>
    <w:p w14:paraId="502C430E"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Applying the third question: the framework is neither functional nor behavioural. Collective arrangements are explained by the specific causal powers they carry, which are the historically produced outcomes of prior cycles, not by the functions they serve. Individual and collective behaviour is explained by how agents respond to those inherited conditions given their reflexive capacities, with corporate agents capable of more organised responses than dispersed primary agents. The Archer/Giddens debate over whether this temporal sequencing can be collapsed into simultaneous mutual constitution is the central dispute of Chapter 6, where Archer's framework will be examined in further detail.</w:t>
      </w:r>
    </w:p>
    <w:p w14:paraId="4D15420F" w14:textId="77777777" w:rsidR="00000893" w:rsidRPr="00FE1374" w:rsidRDefault="00263F1F">
      <w:pPr>
        <w:pStyle w:val="Heading3"/>
        <w:spacing w:before="360" w:after="120"/>
        <w:rPr>
          <w:rFonts w:ascii="Times New Roman" w:hAnsi="Times New Roman" w:cs="Times New Roman"/>
        </w:rPr>
      </w:pPr>
      <w:r>
        <w:t>5.5.4 Field Theory: Bourdieu</w:t>
      </w:r>
    </w:p>
    <w:p w14:paraId="43940859"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Pierre Bourdieu's field theory occupies a middle position that deliberately resists assignment to either pole (Bourdieu, 1977; Bourdieu, 1990). A field is a structured space of positions defined by the distribution of specific forms of capital, economic, cultural, social, symbolic, with its own logic that operates independently of the intentions of any particular participant. The concept of habitus names the mechanism through which this objective structure becomes operative: a system of durable dispositions that individuals acquire by occupying a particular position in social space, generating practice without requiring deliberate calculation. The academic field, for instance, has a structure that shapes what counts as success and what strategies are viable, regardless of what any individual scholar intends; participants who have internalised the logic of the field through their habitus engage in practices that reproduce it without intending to do so.</w:t>
      </w:r>
    </w:p>
    <w:p w14:paraId="21112270"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Applying the first question: core agents are individuals whose conduct is generated by their habitus, itself the embodied product of their position in social space. The field is definitely more than the sum of its participants: it has an objective structure, defined by the distribution of capital, that constrains what strategies are viable. But this objective structure only operates through participants who have internalised its logic. The collective structure is real and causally efficacious, but it operates through the dispositions of individuals rather than over and above them.</w:t>
      </w:r>
    </w:p>
    <w:p w14:paraId="2962EFF1"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Applying the second question: the mechanism is bidirectional, with primary causal emphasis running from collective structure to individual disposition. The field shapes the conditions under which habitus is formed, and habitus generates the practice that reproduces the field. The two are mutually conditioning, but the objective structure of the field has analytical priority as the condition of possibility for the habitus of the agents who inhabit it.</w:t>
      </w:r>
    </w:p>
    <w:p w14:paraId="539BAE71"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Applying the third question: field theory is neither straightforwardly functional nor straightforwardly behavioural. The reproduction of fields is explained neither by the functions they serve nor by the deliberate intentions of individual agents, but by the practical logic of habitus-field fit: agents with the appropriate habitus engage in practices that reproduce the field, not because they intend this outcome but because their dispositions are calibrated to its demands.</w:t>
      </w:r>
    </w:p>
    <w:p w14:paraId="1680003E"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The explanatory pressure on Bourdieu's position comes from the concept of habitus itself. The theory's explanatory power depends on a close fit between habitus and field. When agents are well-matched to their field, practice flows naturally and the field is reproduced. But when habitus and field are mismatched, as in situations of rapid social change, crisis, or mobility across field boundaries, the account has more difficulty specifying what determines the direction of individual practice. Bourdieu introduces the concept of hysteresis, the tendency of habitus to persist beyond the conditions that produced it, to address this, but it raises the further question of how fields actually transform through individual action rather than simply reproducing themselves. This connects forward to Chapter 6: the question of how collective arrangements change through the action of individuals who carry dispositions formed under different conditions is precisely the question the structure and agency debate is designed to address.</w:t>
      </w:r>
    </w:p>
    <w:p w14:paraId="4796002C" w14:textId="77777777" w:rsidR="00000893" w:rsidRPr="00FE1374" w:rsidRDefault="00000893">
      <w:pPr>
        <w:spacing w:after="80"/>
        <w:rPr>
          <w:rFonts w:ascii="Times New Roman" w:hAnsi="Times New Roman" w:cs="Times New Roman"/>
        </w:rPr>
      </w:pPr>
    </w:p>
    <w:p w14:paraId="609173EB" w14:textId="77777777" w:rsidR="00000893" w:rsidRPr="00FE1374" w:rsidRDefault="00263F1F">
      <w:pPr>
        <w:pStyle w:val="Heading2"/>
        <w:spacing w:before="360" w:after="120"/>
        <w:rPr>
          <w:rFonts w:ascii="Times New Roman" w:hAnsi="Times New Roman" w:cs="Times New Roman"/>
        </w:rPr>
      </w:pPr>
      <w:r>
        <w:t>5.6 Conclusion</w:t>
      </w:r>
    </w:p>
    <w:p w14:paraId="4718F9B4"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The individuals and groups debate runs between two poles, each of which tracks something genuine about social reality and each of which immediately creates an explanatory burden. The collectivist pole captures the fact that collective arrangements are real, that they pre-exist and constrain the individuals who encounter them, and that their properties cannot be derived from inspection of any individual member. The individualist pole captures the fact that it is individuals who act, who suffer, and who produce and reproduce whatever collective arrangements exist through their conduct. Neither observation cancels the other, and the analytical task this chapter has been developing is a set of tools for identifying, with precision, how any given account handles the tension between them.</w:t>
      </w:r>
    </w:p>
    <w:p w14:paraId="2430477B"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The three diagnostic questions, concerning how agents and groups are identified, what mechanism connects the two levels and in which direction it runs, and whether functional or behavioural logics are doing the primary explanatory work, together allow a careful reader to locate any account on the continuum and to identify where its explanatory burden is most acute.</w:t>
      </w:r>
    </w:p>
    <w:p w14:paraId="6B331265"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The stakes of this positioning have been stated at the outset and are worth restating here in light of what the chapter has shown. Ontological commitment shapes what counts as a cause, what evidence is legible, and what explanations are even formulable. What the analysis in this chapter adds is a more precise account of where those limits fall for specific theoretical positions. The individualist framework does not simply miss collective-level causes in some vague sense; it faces its sharpest pressure at the specific point where collective properties, social capital, normative persistence, institutional inertia, do work that individual preference aggregation cannot fully do. The collectivist framework does not simply miss individual agency in some vague sense; it faces its sharpest pressure at the specific point where individual variation, reflexivity, and transformation exceed what structural conditioning can account for. Knowing where those limits fall is what allows a researcher to read any account critically, to identify not only what it explains but what it is structurally prevented from seeing, and to make deliberate rather than unreflective choices about where on the continuum their own work sits.</w:t>
      </w:r>
    </w:p>
    <w:p w14:paraId="2155AF4B"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The value of identifying one's ontological position explicitly, and of working toward a more precise specification of the mechanism connecting individuals and collectives, is therefore not merely philosophical. It is a condition of producing explanations that are adequate to the phenomena they address. A position that can specify, with the kind of precision that Archer's morphogenetic cycle or Bourdieu's habitus-field articulation provides, how collective conditions shape individual action and how individual action feeds back to modify collective conditions, is not simply more theoretically sophisticated. It is better equipped to explain change as well as reproduction, deviation as well as conformity, and transformation as well as persistence.</w:t>
      </w:r>
    </w:p>
    <w:p w14:paraId="6F329ACC"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The debate also leaves a specific question open for the chapter that follows. It establishes that collective arrangements condition individual action and that individual action reproduces or transforms collective arrangements, but it does not specify the temporal and causal logic of that relationship in detail. How do structural conditions shape agential conduct without determining it? How do individuals produce structural transformation rather than mere structural reproduction? How much analytical weight falls on the conditions individuals inherit versus the reflexive deliberation they bring to those conditions? These are the questions the structure and agency debate is designed to address, and Chapter 6 takes the distinction between collective arrangements and individual action established here as its starting point.</w:t>
      </w:r>
    </w:p>
    <w:p w14:paraId="03697A0D" w14:textId="77777777" w:rsidR="00000893" w:rsidRPr="00FE1374" w:rsidRDefault="00000893">
      <w:pPr>
        <w:spacing w:after="80"/>
        <w:rPr>
          <w:rFonts w:ascii="Times New Roman" w:hAnsi="Times New Roman" w:cs="Times New Roman"/>
        </w:rPr>
      </w:pPr>
    </w:p>
    <w:p w14:paraId="007BF475" w14:textId="77777777" w:rsidR="00000893" w:rsidRPr="00FE1374" w:rsidRDefault="00263F1F">
      <w:pPr>
        <w:pStyle w:val="Heading1"/>
        <w:spacing w:before="360" w:after="120"/>
        <w:rPr>
          <w:rFonts w:ascii="Times New Roman" w:hAnsi="Times New Roman" w:cs="Times New Roman"/>
        </w:rPr>
      </w:pPr>
      <w:r>
        <w:rPr>
          <w:rFonts w:ascii="Times New Roman" w:hAnsi="Times New Roman" w:cs="Times New Roman"/>
          <w:sz w:val="28"/>
          <w:szCs w:val="28"/>
        </w:rPr>
        <w:t>References</w:t>
      </w:r>
    </w:p>
    <w:p w14:paraId="2E5DD4AB"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Archer, M. S. (1982). Morphogenesis versus structuration: On combining structure and action. British Journal of Sociology, 33(4), 455-483.</w:t>
      </w:r>
    </w:p>
    <w:p w14:paraId="60B46562"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Archer, M. S. (1995). Realist social theory: The morphogenetic approach. Cambridge University Press.</w:t>
      </w:r>
    </w:p>
    <w:p w14:paraId="03A24DF7"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Archer, M. S. (2003). Structure, agency and the internal conversation. Cambridge University Press.</w:t>
      </w:r>
    </w:p>
    <w:p w14:paraId="0495A113"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Bourdieu, P. (1977). Outline of a theory of practice (R. Nice, Trans.). Cambridge University Press.</w:t>
      </w:r>
    </w:p>
    <w:p w14:paraId="7B510D0C"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Bourdieu, P. (1990). The logic of practice (R. Nice, Trans.). Stanford University Press.</w:t>
      </w:r>
    </w:p>
    <w:p w14:paraId="6F6E7992"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Coleman, J. S. (1988). Social capital in the creation of human capital. American Journal of Sociology, 94(Supplement), S95-S120.</w:t>
      </w:r>
    </w:p>
    <w:p w14:paraId="7C3ACBC0"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Coleman, J. S. (1990). Foundations of social theory. Harvard University Press.</w:t>
      </w:r>
    </w:p>
    <w:p w14:paraId="76A76C5F"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Comte, A. (1975). Auguste Comte and positivism: The essential writings (G. Lenzer, Ed.). Harper &amp; Row. (Original work published 1830-1842)</w:t>
      </w:r>
    </w:p>
    <w:p w14:paraId="0FF580CF"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Durkheim, E. (1982). The rules of sociological method (W. D. Halls, Trans.). Free Press. (Original work published 1895)</w:t>
      </w:r>
    </w:p>
    <w:p w14:paraId="585B4842"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Durkheim, E. (1995). The elementary forms of religious life (K. E. Fields, Trans.). Free Press. (Original work published 1912)</w:t>
      </w:r>
    </w:p>
    <w:p w14:paraId="40EFFB9F"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Durkheim, E. (1997). The division of labour in society (W. D. Halls, Trans.). Free Press. (Original work published 1893)</w:t>
      </w:r>
    </w:p>
    <w:p w14:paraId="5194CEF7"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Elder-Vass, D. (2010). The causal power of social structures: Emergence, structure and agency. Cambridge University Press.</w:t>
      </w:r>
    </w:p>
    <w:p w14:paraId="54D4A927"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Elster, J. (1979). Ulysses and the sirens: Studies in rationality and irrationality. Cambridge University Press.</w:t>
      </w:r>
    </w:p>
    <w:p w14:paraId="7D6A2BAF"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Elster, J. (1989). Nuts and bolts for the social sciences. Cambridge University Press.</w:t>
      </w:r>
    </w:p>
    <w:p w14:paraId="6D1AD5B4"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Giddens, A. (1976). New rules of sociological method. Hutchinson.</w:t>
      </w:r>
    </w:p>
    <w:p w14:paraId="39854145"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Giddens, A. (1984). The constitution of society: Outline of the theory of structuration. University of California Press.</w:t>
      </w:r>
    </w:p>
    <w:p w14:paraId="4825B6AD"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Hegel, G. W. F. (1977). Phenomenology of spirit (A. V. Miller, Trans.). Oxford University Press. (Original work published 1807)</w:t>
      </w:r>
    </w:p>
    <w:p>
      <w:r>
        <w:t xml:space="preserve">Hegel, G. W. F. (1952). Philosophy of right (T. M. Knox, Trans.). Oxford University Press. (Original work published 1821)</w:t>
      </w:r>
    </w:p>
    <w:p w14:paraId="69DDF70B"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Hobbes, T. (1996). Leviathan (R. Tuck, Ed.). Cambridge University Press. (Original work published 1651)</w:t>
      </w:r>
    </w:p>
    <w:p w14:paraId="035B45EE"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Locke, J. (1988). Two treatises of government (P. Laslett, Ed.). Cambridge University Press. (Original work published 1689)</w:t>
      </w:r>
    </w:p>
    <w:p w14:paraId="5F966246"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Lockwood, D. (1964). Social integration and system integration. In G. K. Zollschan &amp; W. Hirsch (Eds.), Explorations in social change (pp. 244-257). Routledge.</w:t>
      </w:r>
    </w:p>
    <w:p w14:paraId="2744F4B8"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Lukes, S. (1973). Methodological individualism reconsidered. In A. Ryan (Ed.), The philosophy of social explanation (pp. 119-129). Oxford University Press.</w:t>
      </w:r>
    </w:p>
    <w:p w14:paraId="1B6CEFCB"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Parsons, T. (1951). The social system. Free Press.</w:t>
      </w:r>
    </w:p>
    <w:p w14:paraId="3D37F405"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Smith, A. (1976). An inquiry into the nature and causes of the wealth of nations (R. H. Campbell &amp; A. S. Skinner, Eds.). Oxford University Press. (Original work published 1776)</w:t>
      </w:r>
    </w:p>
    <w:p w14:paraId="26994347" w14:textId="77777777" w:rsidR="00000893" w:rsidRPr="00FE1374" w:rsidRDefault="00263F1F">
      <w:pPr>
        <w:spacing w:after="160" w:line="276" w:lineRule="auto"/>
        <w:jc w:val="both"/>
        <w:rPr>
          <w:rFonts w:ascii="Times New Roman" w:hAnsi="Times New Roman" w:cs="Times New Roman"/>
        </w:rPr>
      </w:pPr>
      <w:r>
        <w:rPr>
          <w:rFonts w:ascii="Times New Roman" w:hAnsi="Times New Roman" w:cs="Times New Roman"/>
        </w:rPr>
        <w:t>Weber, M. (1968). Economy and society: An outline of interpretive sociology (G. Roth &amp; C. Wittich, Eds.). Bedminster Press. (Original work published 1922)</w:t>
      </w:r>
    </w:p>
    <w:sectPr w:rsidR="00000893" w:rsidRPr="00FE137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FE1FFA"/>
    <w:multiLevelType w:val="hybridMultilevel"/>
    <w:tmpl w:val="EC201ADC"/>
    <w:lvl w:ilvl="0" w:tplc="EBA0EB0C">
      <w:start w:val="1"/>
      <w:numFmt w:val="bullet"/>
      <w:lvlText w:val="●"/>
      <w:lvlJc w:val="left"/>
      <w:pPr>
        <w:ind w:left="720" w:hanging="360"/>
      </w:pPr>
    </w:lvl>
    <w:lvl w:ilvl="1" w:tplc="B520FAF0">
      <w:start w:val="1"/>
      <w:numFmt w:val="bullet"/>
      <w:lvlText w:val="○"/>
      <w:lvlJc w:val="left"/>
      <w:pPr>
        <w:ind w:left="1440" w:hanging="360"/>
      </w:pPr>
    </w:lvl>
    <w:lvl w:ilvl="2" w:tplc="6BD2D148">
      <w:start w:val="1"/>
      <w:numFmt w:val="bullet"/>
      <w:lvlText w:val="■"/>
      <w:lvlJc w:val="left"/>
      <w:pPr>
        <w:ind w:left="2160" w:hanging="360"/>
      </w:pPr>
    </w:lvl>
    <w:lvl w:ilvl="3" w:tplc="5B3CA1FC">
      <w:start w:val="1"/>
      <w:numFmt w:val="bullet"/>
      <w:lvlText w:val="●"/>
      <w:lvlJc w:val="left"/>
      <w:pPr>
        <w:ind w:left="2880" w:hanging="360"/>
      </w:pPr>
    </w:lvl>
    <w:lvl w:ilvl="4" w:tplc="D7846D0A">
      <w:start w:val="1"/>
      <w:numFmt w:val="bullet"/>
      <w:lvlText w:val="○"/>
      <w:lvlJc w:val="left"/>
      <w:pPr>
        <w:ind w:left="3600" w:hanging="360"/>
      </w:pPr>
    </w:lvl>
    <w:lvl w:ilvl="5" w:tplc="73C24F4C">
      <w:start w:val="1"/>
      <w:numFmt w:val="bullet"/>
      <w:lvlText w:val="■"/>
      <w:lvlJc w:val="left"/>
      <w:pPr>
        <w:ind w:left="4320" w:hanging="360"/>
      </w:pPr>
    </w:lvl>
    <w:lvl w:ilvl="6" w:tplc="817601E6">
      <w:start w:val="1"/>
      <w:numFmt w:val="bullet"/>
      <w:lvlText w:val="●"/>
      <w:lvlJc w:val="left"/>
      <w:pPr>
        <w:ind w:left="5040" w:hanging="360"/>
      </w:pPr>
    </w:lvl>
    <w:lvl w:ilvl="7" w:tplc="57B4EBDA">
      <w:start w:val="1"/>
      <w:numFmt w:val="bullet"/>
      <w:lvlText w:val="●"/>
      <w:lvlJc w:val="left"/>
      <w:pPr>
        <w:ind w:left="5760" w:hanging="360"/>
      </w:pPr>
    </w:lvl>
    <w:lvl w:ilvl="8" w:tplc="BAC6C2DC">
      <w:start w:val="1"/>
      <w:numFmt w:val="bullet"/>
      <w:lvlText w:val="●"/>
      <w:lvlJc w:val="left"/>
      <w:pPr>
        <w:ind w:left="6480" w:hanging="360"/>
      </w:pPr>
    </w:lvl>
  </w:abstractNum>
  <w:num w:numId="1" w16cid:durableId="17756372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893"/>
    <w:rsid w:val="00000893"/>
    <w:rsid w:val="001069E7"/>
    <w:rsid w:val="001E0DCE"/>
    <w:rsid w:val="00263F1F"/>
    <w:rsid w:val="00377D4E"/>
    <w:rsid w:val="0038482B"/>
    <w:rsid w:val="003B16F3"/>
    <w:rsid w:val="00462A0F"/>
    <w:rsid w:val="006E77ED"/>
    <w:rsid w:val="007634E3"/>
    <w:rsid w:val="008E6BB1"/>
    <w:rsid w:val="00A22BD4"/>
    <w:rsid w:val="00B92264"/>
    <w:rsid w:val="00C66BDF"/>
    <w:rsid w:val="00D37F9C"/>
    <w:rsid w:val="00E9310E"/>
    <w:rsid w:val="00F70D94"/>
    <w:rsid w:val="00F730BC"/>
    <w:rsid w:val="00FE1374"/>
    <w:rsid w:val="00FF1E0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55D5588"/>
  <w15:docId w15:val="{9E02EA10-BAC1-4114-8C36-89EA951CE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000000"/>
      <w:sz w:val="32"/>
      <w:szCs w:val="32"/>
    </w:rPr>
  </w:style>
  <w:style w:type="paragraph" w:styleId="Heading2">
    <w:name w:val="heading 2"/>
    <w:uiPriority w:val="9"/>
    <w:unhideWhenUsed/>
    <w:qFormat/>
    <w:pPr>
      <w:spacing w:before="300" w:after="16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Caroline Laschkolnig</cp:lastModifiedBy>
  <cp:revision>10</cp:revision>
  <dcterms:created xsi:type="dcterms:W3CDTF">2026-04-07T06:51:00Z</dcterms:created>
  <dcterms:modified xsi:type="dcterms:W3CDTF">2026-04-11T07:23:00Z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772ba27-cab8-4042-a351-a31f6e4eacdc_Enabled">
    <vt:lpwstr>true</vt:lpwstr>
  </property>
  <property fmtid="{D5CDD505-2E9C-101B-9397-08002B2CF9AE}" pid="3" name="MSIP_Label_8772ba27-cab8-4042-a351-a31f6e4eacdc_SetDate">
    <vt:lpwstr>2026-04-07T06:51:59Z</vt:lpwstr>
  </property>
  <property fmtid="{D5CDD505-2E9C-101B-9397-08002B2CF9AE}" pid="4" name="MSIP_Label_8772ba27-cab8-4042-a351-a31f6e4eacdc_Method">
    <vt:lpwstr>Standard</vt:lpwstr>
  </property>
  <property fmtid="{D5CDD505-2E9C-101B-9397-08002B2CF9AE}" pid="5" name="MSIP_Label_8772ba27-cab8-4042-a351-a31f6e4eacdc_Name">
    <vt:lpwstr>Internal</vt:lpwstr>
  </property>
  <property fmtid="{D5CDD505-2E9C-101B-9397-08002B2CF9AE}" pid="6" name="MSIP_Label_8772ba27-cab8-4042-a351-a31f6e4eacdc_SiteId">
    <vt:lpwstr>715902d6-f63e-4b8d-929b-4bb170bad492</vt:lpwstr>
  </property>
  <property fmtid="{D5CDD505-2E9C-101B-9397-08002B2CF9AE}" pid="7" name="MSIP_Label_8772ba27-cab8-4042-a351-a31f6e4eacdc_ActionId">
    <vt:lpwstr>1b0556af-4532-47eb-841c-d0963d6fa36b</vt:lpwstr>
  </property>
  <property fmtid="{D5CDD505-2E9C-101B-9397-08002B2CF9AE}" pid="8" name="MSIP_Label_8772ba27-cab8-4042-a351-a31f6e4eacdc_ContentBits">
    <vt:lpwstr>0</vt:lpwstr>
  </property>
  <property fmtid="{D5CDD505-2E9C-101B-9397-08002B2CF9AE}" pid="9" name="MSIP_Label_8772ba27-cab8-4042-a351-a31f6e4eacdc_Tag">
    <vt:lpwstr>50, 3, 0, 1</vt:lpwstr>
  </property>
  <property fmtid="{D5CDD505-2E9C-101B-9397-08002B2CF9AE}" pid="10" name="GrammarlyDocumentId">
    <vt:lpwstr>52a1a06f962c495e560117003d599ab9f388ce6da820d39eaf9a3ebfd9a489d5</vt:lpwstr>
  </property>
</Properties>
</file>