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w="http://schemas.openxmlformats.org/wordprocessingml/2006/main" xmlns:w14="http://schemas.microsoft.com/office/word/2010/wordml" xmlns:w15="http://schemas.microsoft.com/office/word/2012/wordml" xmlns:wp14="http://schemas.microsoft.com/office/word/2010/wordprocessingDrawing" mc:Ignorable="w14 w15 wp14">
  <w:body>
    <w:p>
      <w:pPr>
        <w:pStyle w:val="Heading1"/>
      </w:pPr>
      <w:r>
        <w:t>Chapter 8: Transcendence and Immanence</w:t>
      </w:r>
    </w:p>
    <w:p>
      <w:pPr>
        <w:pStyle w:val="Heading2"/>
        <w:spacing w:after="160" w:before="280"/>
      </w:pPr>
      <w:r>
        <w:t>8.1 Introduction</w:t>
      </w:r>
    </w:p>
    <w:p>
      <w:pPr>
        <w:spacing w:after="160" w:before="0"/>
        <w:jc w:val="both"/>
      </w:pPr>
      <w:r>
        <w:rPr>
          <w:rFonts w:ascii="Times New Roman" w:cs="Times New Roman" w:eastAsia="Times New Roman" w:hAnsi="Times New Roman"/>
          <w:sz w:val="24"/>
          <w:szCs w:val="24"/>
        </w:rPr>
        <w:t xml:space="preserve">Consider two accounts of how capitalism produces inequality. The first argues that capital accumulation generates surplus extraction regardless of context: wherever wage labour and private property are institutionally in place, an underlying mechanism operates with the same persistent causal logic, producing concentrations of wealth that workers cannot reverse through individual effort. The specific features of Brazilian capitalism or South Korean capitalism are surface variations; the mechanism holds its intrinsic properties across all of them. The second argues that what we call capitalism in Brazil and what we call capitalism in South Korea are not instances of the same mechanism operating under different conditions: they are different configurations of property relations, labour regimes, state power, and cultural meaning, each with its own conjunctural causality. No mechanism stands above those configurations; the configurations are everything. These two accounts do not disagree about whether mechanisms exist or whether causal explanation is possible. They disagree about whether the causal mechanisms operative in social life hold their properties prior to and independently of any particular instance of their operation, or whether those properties are constituted through and inseparable from the specific configurations in which mechanisms are expressed. That disagreement is the transcendence and immanence debate.</w:t>
      </w:r>
    </w:p>
    <w:p>
      <w:pPr>
        <w:spacing w:after="160" w:before="0"/>
        <w:jc w:val="both"/>
      </w:pPr>
      <w:r>
        <w:rPr>
          <w:rFonts w:ascii="Times New Roman" w:cs="Times New Roman" w:eastAsia="Times New Roman" w:hAnsi="Times New Roman"/>
          <w:sz w:val="24"/>
          <w:szCs w:val="24"/>
        </w:rPr>
        <w:t xml:space="preserve">The debate is the fourth and most philosophically demanding of the framework's four social ontological debates. Its demand comes from a specific source. Unlike the three preceding debates, which present positions that social scientists typically recognise as their own, the transcendence and immanence question cuts beneath the thematic commitments of most theoretical traditions and reveals an underlying ontological assumption that theorists often have not explicitly articulated. A theorist can be thematically committed to relational analysis while being ontologically committed to assumptions that presuppose intrinsic properties. A theorist can claim to be doing conjunctural analysis while in practice treating mechanisms as carrying their persistent causal logic across cases. The gap between thematic and ontological reading, introduced in Chapter 4 as constitutive of situating as an analytical practice, is present in all four debates but is sharpest and most consequential here: what is at stake in this debate is precisely what the analysis presupposes about the nature of mechanisms and their relation to the configurations in which they operate, and no thematic reading can settle that question. Reading accounts ontologically rather than thematically is what the diagnostic apparatus of this chapter is designed to do, and section 8.4 makes that methodological point explicit before the diagnostic questions are applied.</w:t>
      </w:r>
    </w:p>
    <w:p>
      <w:pPr>
        <w:spacing w:after="160" w:before="0"/>
        <w:jc w:val="both"/>
      </w:pPr>
      <w:r>
        <w:rPr>
          <w:rFonts w:ascii="Times New Roman" w:cs="Times New Roman" w:eastAsia="Times New Roman" w:hAnsi="Times New Roman"/>
          <w:sz w:val="24"/>
          <w:szCs w:val="24"/>
        </w:rPr>
        <w:t xml:space="preserve">The debate is structured by one root question that generates an asymmetric branching structure. The root question asks whether the mechanism that produces social effects exists independently of its particular expressions, whether its properties are specifiable prior to examining any given case. The transcendent answer is yes: the mechanism holds its properties available for analysis across configurations. The immanent answer is no: the mechanism only exists in and through its particular expressions, and no version of it stands prior to or above those expressions with properties available independently. This is not a difference of degree but a difference in kind, and the second questions that follow from each answer are different questions rather than different positions on the same axis. The asymmetry between them is what makes a branching structure more accurate than a continuum for representing this debate.</w:t>
      </w:r>
    </w:p>
    <w:p>
      <w:pPr>
        <w:spacing w:after="160" w:before="0"/>
        <w:jc w:val="both"/>
      </w:pPr>
      <w:r>
        <w:rPr>
          <w:rFonts w:ascii="Times New Roman" w:cs="Times New Roman" w:eastAsia="Times New Roman" w:hAnsi="Times New Roman"/>
          <w:sz w:val="24"/>
          <w:szCs w:val="24"/>
        </w:rPr>
        <w:t xml:space="preserve">This chapter proceeds as follows. Section 8.2 traces the philosophical roots of the debate from Plato and Aristotle through Spinoza, Kant, and Hegel to its crystallisation in the work of Durkheim, Weber, Gramsci, and Marx. Section 8.3 introduces the key concepts, maps the branching structure, and presents the tree of positions. Section 8.4 presents the diagnostic apparatus and examines the implications and characteristic tensions of each position. Section 8.5 analyses seven theoretical positions in depth across the five nodes.</w:t>
      </w:r>
    </w:p>
    <w:p>
      <w:pPr>
        <w:pStyle w:val="Heading2"/>
        <w:spacing w:after="160" w:before="280"/>
      </w:pPr>
      <w:r>
        <w:t>8.2 The Philosophical Roots of the Debate</w:t>
      </w:r>
    </w:p>
    <w:p>
      <w:pPr>
        <w:spacing w:after="160" w:before="0"/>
        <w:jc w:val="both"/>
      </w:pPr>
      <w:r>
        <w:rPr>
          <w:rFonts w:ascii="Times New Roman" w:cs="Times New Roman" w:eastAsia="Times New Roman" w:hAnsi="Times New Roman"/>
          <w:sz w:val="24"/>
          <w:szCs w:val="24"/>
        </w:rPr>
        <w:t xml:space="preserve">The question of whether social reality has a structure that exists prior to and independently of its particular expressions, or only through those expressions, is not a question social science invented. It is one of the oldest questions in philosophy, and social science inherited it already sharpened by centuries of argument. Tracing how the question developed, how the vocabulary of intrinsic properties, relational properties, persistent causal logic, and conjunctural causality came to name its central distinctions, and how four classical social scientists crystallised the four basic orientations that structure the debate, is the best preparation for understanding why the positions in section 8.3 are where they are and why the arguments between them take the form they do.</w:t>
      </w:r>
    </w:p>
    <w:p>
      <w:pPr>
        <w:spacing w:after="160" w:before="0"/>
        <w:jc w:val="both"/>
      </w:pPr>
      <w:r>
        <w:rPr>
          <w:rFonts w:ascii="Times New Roman" w:cs="Times New Roman" w:eastAsia="Times New Roman" w:hAnsi="Times New Roman"/>
          <w:sz w:val="24"/>
          <w:szCs w:val="24"/>
        </w:rPr>
        <w:t xml:space="preserve">The philosophical root is the dispute between Plato and Aristotle over universals. For Plato, what makes something the kind of thing it is depends on its participation in a Form. A just action is just by participating in Justice; a beautiful thing is beautiful by participating in Beauty. The Form is not in the thing but transcends it, and the thing derives its intelligibility from a source that exists prior to and independently of any particular instance (Plato, 1997). The mechanism that produces a kind of effect holds its properties independently of any particular configuration in which it operates: the configuration is where those properties are expressed, but the properties themselves are intrinsic to the mechanism, not constituted through the configuration. For Aristotle, this inverts the actual order of inquiry. Forms are in things, not above them. The form of a horse is in this horse, discoverable through careful attention to what horses actually are and do; universals are abstracted from particulars rather than prior to them (Aristotle, 1984). The mechanism's properties cannot be specified independently of the specific instances in which it operates; what a thing is cannot be held apart from the particular configurations in which it exists, and any general claim is an abstraction from those particulars rather than an independent fact about them.</w:t>
      </w:r>
    </w:p>
    <w:p>
      <w:pPr>
        <w:spacing w:after="160" w:before="0"/>
        <w:jc w:val="both"/>
      </w:pPr>
      <w:r>
        <w:rPr>
          <w:rFonts w:ascii="Times New Roman" w:cs="Times New Roman" w:eastAsia="Times New Roman" w:hAnsi="Times New Roman"/>
          <w:sz w:val="24"/>
          <w:szCs w:val="24"/>
        </w:rPr>
        <w:t xml:space="preserve">The Neoplatonic tradition translated this opposition into the causal vocabulary the chapter uses. Thinkers from Plutarch of Athens through Proclus and Ammonius developed a distinction between causes that are immanent in their effects, constitutive of what a thing is from within, and causes that are transcendent to their effects, acting on things from outside (Wisnovsky, 2003). Avicenna gave this the sharpest medieval formulation: a mechanism's intrinsic properties are those it holds by virtue of what it is, independently of the relational configuration in which it is embedded, and its persistent causal logic is available wherever that kind of mechanism is present. A mechanism whose properties are relational has no causal force prior to or outside the specific configuration of relations in which it is constituted, and its conjunctural causality cannot be specified without reconstructing that configuration. The question of where properties reside and the question of how causal force is exercised became, through this tradition, two aspects of the same underlying commitment. They have remained entangled ever since, and that entanglement is not an error in the literature but a reflection of their common philosophical root.</w:t>
      </w:r>
    </w:p>
    <w:p>
      <w:pPr>
        <w:spacing w:after="160" w:before="0"/>
        <w:jc w:val="both"/>
      </w:pPr>
      <w:r>
        <w:rPr>
          <w:rFonts w:ascii="Times New Roman" w:cs="Times New Roman" w:eastAsia="Times New Roman" w:hAnsi="Times New Roman"/>
          <w:sz w:val="24"/>
          <w:szCs w:val="24"/>
        </w:rPr>
        <w:t xml:space="preserve">Spinoza gave the immanent answer its most powerful early modern development. For Spinoza, particular things in the world are modes of a single substance, and that substance is expressed in and through those modes rather than standing behind them as a separate entity (Spinoza, 1677/1985). Causal power is not imposed on the world from outside but expressed from within: a cause does not act on its effect from a position external to it but is present in and through it, constitutive of what the effect is. This means that a mechanism's causal logic cannot be read off from any position standing above or prior to the specific configurations in which it is expressed; it can only be reconstructed through careful attention to the particular conjunction of conditions assembled in each case. Kim (1987) draws out an implication Spinoza himself acknowledged: even granting full immanence, there is no sufficient reason accessible to finite analysis for why this configuration rather than another was assembled. That difficulty, the question of what grounds any structural availability claim if no mechanism holds properties independently above the configurations being compared, is the most demanding open question any fully immanent position in social science inherits.</w:t>
      </w:r>
    </w:p>
    <w:p>
      <w:pPr>
        <w:spacing w:after="160" w:before="0"/>
        <w:jc w:val="both"/>
      </w:pPr>
      <w:r>
        <w:rPr>
          <w:rFonts w:ascii="Times New Roman" w:cs="Times New Roman" w:eastAsia="Times New Roman" w:hAnsi="Times New Roman"/>
          <w:sz w:val="24"/>
          <w:szCs w:val="24"/>
        </w:rPr>
        <w:t xml:space="preserve">Kant introduced a clarification that remains essential for reading the debate precisely. He distinguished between a transcendental argument, which asks what must be the case for something to be possible at all, and a transcendent claim, which asserts that a particular mechanism holds its intrinsic properties across and independently of any specific historical configuration (Kant, 1781/1998). Establishing that mechanisms must exist as a condition of the possibility of regular social patterns does not establish that any specific mechanism holds its properties independently of the configurations in which it operates. These are independent claims, and the slide from the first to the second is easy and consequential. As section 8.5 shows, this is precisely where the debate between critical realism (CR) and Knio's Spinozian approach turns: CR makes a transcendental argument for mechanisms at the level of the real, but the question of whether those mechanisms hold their intrinsic properties independently of the configurations at the level of the actual is a substantive transcendent claim that Knio contests.</w:t>
      </w:r>
    </w:p>
    <w:p>
      <w:pPr>
        <w:spacing w:after="160" w:before="0"/>
        <w:jc w:val="both"/>
      </w:pPr>
      <w:r>
        <w:rPr>
          <w:rFonts w:ascii="Times New Roman" w:cs="Times New Roman" w:eastAsia="Times New Roman" w:hAnsi="Times New Roman"/>
          <w:sz w:val="24"/>
          <w:szCs w:val="24"/>
        </w:rPr>
        <w:t xml:space="preserve">Hegel made the move that gave this philosophical inheritance its social-scientific relevance. For Hegel, the opposition between Platonic intrinsic properties and Aristotelian relational properties is not an eternal philosophical disagreement but a historically produced one (Hegel, 1807/1977). Social forms that appear to have intrinsic properties, whose persistent causal logic seems to hold with the necessity of a natural law, are in fact produced through specific historical processes and depend on those processes for their continued existence. What appears as intrinsic is a historically produced relational property: the mechanism's apparent independence from any particular configuration is itself a product of the specific historical process through which that configuration has been reproduced often enough to appear natural. Once this move is made, the question of whether properties are intrinsic or relational, and the question of whether causality is persistent or conjunctural, become inseparable from the question of how social forms come into being and are sustained. The philosophical debate becomes historical.</w:t>
      </w:r>
    </w:p>
    <w:p>
      <w:pPr>
        <w:spacing w:after="160" w:before="0"/>
        <w:jc w:val="both"/>
      </w:pPr>
      <w:r>
        <w:rPr>
          <w:rFonts w:ascii="Times New Roman" w:cs="Times New Roman" w:eastAsia="Times New Roman" w:hAnsi="Times New Roman"/>
          <w:sz w:val="24"/>
          <w:szCs w:val="24"/>
        </w:rPr>
        <w:t xml:space="preserve">Marx gave Hegel's insight its most consequential social-scientific development, producing the most analytically contested position in the debate. The forms that appear in capitalist social life as having intrinsic properties, the commodity, the value form, capital itself, are historically produced through specific social relations and have no existence outside those relations. Marx's opening analysis in Capital establishes that the commodity appears as a simple thing with properties that seem to belong to it naturally, but this appearance of intrinsic value is a product of the specific social relations of capitalist production in which human labour takes the form of the value of things (Marx, 1867/1990). The commodity's apparent intrinsic properties are historically produced relational properties: they belong to the mechanism by virtue of the specific configuration of social relations that produced the value form, not by virtue of what the mechanism is in itself. Yet once the value form is produced and reproduced through ongoing social relations, it generates structural availability across different configurations of capitalist society. The tendential fall in the rate of profit, the compulsion to accumulate, the production of surplus value hold wherever the historically produced form is reproduced. But they are structural availability rather than persistent causal logic in the full transcendent sense: they hold because the relational configuration that generates the form continues to be reproduced, not because the mechanism holds its properties independently of any particular case. This combination of relational properties with conditional structural availability is what makes Marx analytically demanding and what has made the CR appropriation of his work both understandable and philosophically contested.</w:t>
      </w:r>
    </w:p>
    <w:p>
      <w:pPr>
        <w:spacing w:after="160" w:before="0"/>
        <w:jc w:val="both"/>
      </w:pPr>
      <w:r>
        <w:rPr>
          <w:rFonts w:ascii="Times New Roman" w:cs="Times New Roman" w:eastAsia="Times New Roman" w:hAnsi="Times New Roman"/>
          <w:sz w:val="24"/>
          <w:szCs w:val="24"/>
        </w:rPr>
        <w:t xml:space="preserve">The four orientations that structure section 8.3 can be seen in outline through four theoretical positions. Durkheim's analysis of social facts exemplifies intrinsic properties combined with persistent causal logic: social integration, anomie, and organic solidarity hold their properties independently of the specific configurations in which they operate and exercise their causal logic wherever their structural conditions are present, regardless of how individuals interpret them (Durkheim, 1895/1982). The mechanism is specifiable prior to any particular case; the case is where its intrinsic properties are expressed. Gramsci's analysis of hegemony exemplifies relational properties combined with recurring structural availability: no dominant bloc holds hegemony as an intrinsic property, but the logic of hegemony, the compulsion to secure consent, the vulnerability to organic crisis, the structural opening for counter-hegemonic forces, recurs wherever the hegemonic configuration is reproduced (Gramsci, 1971). Properties are relational; structural availability is identifiable at the level of the historically produced hegemonic form. Weber's conjunctural analysis of the Protestant ethic exemplifies relational properties combined with fully conjunctural causality: the causal force of the elective affinity between Calvinist theology and the spirit of capitalism belonged to the specific configuration assembled in seventeenth-century Calvinist communities, and no persistent causal logic and no structural availability can be extracted from it without separate argument from each new case (Weber, 1904/2002). Marx, as established above, exemplifies relational properties combined with structurally available but historically conditioned causal logic: the value form's properties are relationally constituted, but the tendencies it generates hold wherever the form is reproduced. These four orientations are not points on a single scale. As section 8.3 shows, they represent different answers to the root question and to the further questions that each answer generates.</w:t>
      </w:r>
    </w:p>
    <w:p>
      <w:pPr>
        <w:pStyle w:val="Heading2"/>
        <w:spacing w:after="160" w:before="280"/>
      </w:pPr>
      <w:r>
        <w:t>8.3 The Branching Structure</w:t>
      </w:r>
    </w:p>
    <w:p>
      <w:pPr>
        <w:spacing w:after="160" w:before="0"/>
        <w:jc w:val="both"/>
      </w:pPr>
      <w:r>
        <w:rPr>
          <w:rFonts w:ascii="Times New Roman" w:cs="Times New Roman" w:eastAsia="Times New Roman" w:hAnsi="Times New Roman"/>
          <w:sz w:val="24"/>
          <w:szCs w:val="24"/>
        </w:rPr>
        <w:t xml:space="preserve">The transcendence and immanence debate asks whether social mechanisms exist independently of the specific configurations in which they operate, or only through those configurations. A mechanism is transcendent when it holds its causal properties prior to any particular expression of them: it is what it is before any specific configuration assembles around it, and the configuration is where those properties are exercised rather than where they are constituted. A mechanism is immanent when it has no existence or properties prior to the specific configurations through which it is expressed: what it is and what it does are inseparable from the particular conjunction of conditions assembled in each case. This distinction is not primarily about scale or scope. It is about the ontological status of the mechanism itself: whether there is a version of the mechanism that stands independently of any particular expression of it, or whether the mechanism only exists in and through those expressions.</w:t>
      </w:r>
    </w:p>
    <w:p>
      <w:pPr>
        <w:spacing w:after="160" w:before="0"/>
        <w:jc w:val="both"/>
      </w:pPr>
      <w:r>
        <w:rPr>
          <w:rFonts w:ascii="Times New Roman" w:cs="Times New Roman" w:eastAsia="Times New Roman" w:hAnsi="Times New Roman"/>
          <w:sz w:val="24"/>
          <w:szCs w:val="24"/>
        </w:rPr>
        <w:t xml:space="preserve">This matters for social research because it determines what kind of explanatory claim is available. If mechanisms are transcendent, a researcher who has identified a mechanism in one setting has identified something that holds across settings wherever the relevant conditions are present, and can use that identification as a basis for comparative or theoretical claims without re-establishing it in each new case. If mechanisms are immanent, no such transfer is available without fresh argument: what was identified in one configuration is a property of that configuration, and whether anything similar holds in another configuration requires its own reconstruction. The difference is not between ambitious and modest social science; it is between two ontologically different accounts of what social mechanisms are, each with its own form of explanatory rigour and its own characteristic risks.</w:t>
      </w:r>
    </w:p>
    <w:p>
      <w:r>
        <w:t xml:space="preserve">A concrete example from development economics illustrates what is at stake. The Solow growth model predicts conditional convergence: poorer economies should grow faster than richer ones wherever the same mechanism of diminishing returns to capital operates, so that the mechanism’s causal logic holds prior to and independently of any particular economy (Solow, 1956). The persistent failure of many economies to converge prompted two kinds of response. One retained the transcendent commitment and re-specified the mechanism: endogenous growth theory relocated the engine of growth to knowledge spillovers and increasing returns, but continued to treat the re-specified mechanism as holding across cases (Romer, 1986). The other response is immanent in spirit: what looks like a single growth mechanism is in fact a family of historically specific configurations of institutions, trade relations, and state capacities, and whether anything resembling convergence occurs depends on each configuration rather than on a mechanism specifiable in advance. The dispute is not primarily about the data; it is about whether the mechanism exists independently of its expressions.</w:t>
      </w:r>
    </w:p>
    <w:p>
      <w:pPr>
        <w:spacing w:after="160" w:before="0"/>
        <w:jc w:val="both"/>
      </w:pPr>
      <w:r>
        <w:rPr>
          <w:rFonts w:ascii="Times New Roman" w:cs="Times New Roman" w:eastAsia="Times New Roman" w:hAnsi="Times New Roman"/>
          <w:sz w:val="24"/>
          <w:szCs w:val="24"/>
        </w:rPr>
        <w:t xml:space="preserve">Before the positions in this debate can be mapped, four key analytical concepts need to be defined with precision, because they are terms that appear widely in the social science literature with varying and sometimes conflicting meanings. Four concepts are central: intrinsic properties, relational properties, persistent causal logic, and conjunctural causality. Together they define the two questions whose answers determine where any theoretical account sits in the debate.</w:t>
      </w:r>
    </w:p>
    <w:p>
      <w:pPr>
        <w:spacing w:after="160" w:before="0"/>
        <w:jc w:val="both"/>
      </w:pPr>
      <w:r>
        <w:rPr>
          <w:rFonts w:ascii="Times New Roman" w:cs="Times New Roman" w:eastAsia="Times New Roman" w:hAnsi="Times New Roman"/>
          <w:sz w:val="24"/>
          <w:szCs w:val="24"/>
        </w:rPr>
        <w:t xml:space="preserve">A mechanism has intrinsic properties when those properties belong to it by virtue of what it is, independently of the relational configuration in which it is currently embedded. The mechanism carries its causal capacities with it from one configuration to another; what it does does not depend on what surrounds it, except in the sense that the right conditions must be present for the mechanism to be activated. Social integration, on a Durkheimian reading, is an intrinsic property of a social mechanism: it holds its cohesive causal force wherever it is present, not because of any specific relational context but because of what social integration is. A mechanism has relational properties when those properties are constituted through and inseparable from the configuration of relations in which the mechanism is embedded. There are no properties prior to the relations; the mechanism only becomes what it is through those specific relations. Authority, on a Weberian reading, is a relational property: it is not something a ruler holds independently of the relations of legitimacy, coercion, and consent through which it is constituted in each specific context.</w:t>
      </w:r>
    </w:p>
    <w:p>
      <w:pPr>
        <w:spacing w:after="160" w:before="0"/>
        <w:jc w:val="both"/>
      </w:pPr>
      <w:r>
        <w:rPr>
          <w:rFonts w:ascii="Times New Roman" w:cs="Times New Roman" w:eastAsia="Times New Roman" w:hAnsi="Times New Roman"/>
          <w:sz w:val="24"/>
          <w:szCs w:val="24"/>
        </w:rPr>
        <w:t xml:space="preserve">Persistent causal logic means that a mechanism exercises its causal force with the same logic wherever the relevant conditions are present, producing recognisably similar effects across different historical configurations. The persistence does not require that outcomes be identical; it requires that the causal logic generating those outcomes is the same. Conjunctural causality means that the causal force operative in any given case belongs to the specific conjunction of conditions assembled in that case, and cannot be specified in advance of examining what is assembled. The causal logic is not the same across configurations; it is constituted through the specific combination of conditions present, and a different combination, even if it looks superficially similar, generates a different causal logic.</w:t>
      </w:r>
    </w:p>
    <w:p>
      <w:pPr>
        <w:spacing w:after="160" w:before="0"/>
        <w:jc w:val="both"/>
      </w:pPr>
      <w:r>
        <w:rPr>
          <w:rFonts w:ascii="Times New Roman" w:cs="Times New Roman" w:eastAsia="Times New Roman" w:hAnsi="Times New Roman"/>
          <w:sz w:val="24"/>
          <w:szCs w:val="24"/>
        </w:rPr>
        <w:t xml:space="preserve">These two distinctions, properties and causality, are analytically independent but under pressure to align. If a mechanism has intrinsic properties, it is natural but not necessary to conclude that it exercises them with persistent causal logic wherever it is present: what the mechanism is does not change from configuration to configuration, so what it does should not change either. If a mechanism has relational properties, it is natural but not necessary to conclude that its causality is fully conjunctural: if what the mechanism is depends on the specific relational configuration that constitutes it, then what it does in any given case also depends on that configuration. Most theoretical traditions align the two questions, answering both in the same direction. The most analytically productive and most philosophically demanding positions in the debate are those that find reasons to answer them differently, as Marx does when he combines relational properties with structural availability. Understanding why the two questions are analytically independent, and what the implications are when they receive different answers, is the prerequisite for understanding the debate's structure.</w:t>
      </w:r>
    </w:p>
    <w:p>
      <w:pPr>
        <w:spacing w:after="160" w:before="0"/>
        <w:jc w:val="both"/>
      </w:pPr>
      <w:r>
        <w:rPr>
          <w:rFonts w:ascii="Times New Roman" w:cs="Times New Roman" w:eastAsia="Times New Roman" w:hAnsi="Times New Roman"/>
          <w:sz w:val="24"/>
          <w:szCs w:val="24"/>
        </w:rPr>
        <w:t xml:space="preserve">The debate has five positions rather than simply two poles because two independent questions, each with two answers, generate four logical combinations, and a fifth emerges when the immanent answer to the properties question is combined with a qualified yes to the causality question. That qualified yes, the structural availability position, is not simply a midpoint between full immanence and full transcendence: it is a distinct ontological commitment that asserts the mechanism has relational properties while also identifying causal logic that holds across configurations sharing a historically produced form. Structural availability means that certain tendencies are identifiable across configurations not because the mechanism holds intrinsic properties that travel with it, but because those configurations share a historically produced form whose reproduction generates recognisable patterns. The structural availability is immanent to the reproduction of the form, not prior to it. Five positions result rather than more because, on the transcendent branch, the further question of what kind of thing the independent mechanism is generates three rather than two answers: the mechanism can be an entity with intrinsic properties, a structural position within an arrangement, or a generative mechanism at a deeper ontological stratum. On the immanent branch, the question of whether any structural availability can be identified without reintroducing independence generates two answers: none, or structural availability immanent to a historically produced form.</w:t>
      </w:r>
    </w:p>
    <w:p>
      <w:pPr>
        <w:spacing w:after="160" w:before="0"/>
        <w:jc w:val="both"/>
      </w:pPr>
      <w:r>
        <w:rPr>
          <w:rFonts w:ascii="Times New Roman" w:cs="Times New Roman" w:eastAsia="Times New Roman" w:hAnsi="Times New Roman"/>
          <w:sz w:val="24"/>
          <w:szCs w:val="24"/>
        </w:rPr>
        <w:t xml:space="preserve">A methodological clarification is necessary before the positions are described, because the same vocabulary of entities and relations appears on both branches of the debate with different analytical weight. On the transcendent branch, the distinction between entity, structural position, and generative mechanism is an ontological question: it concerns what kind of thing actually carries the independent mechanism and holds its properties prior to any configuration. On the immanent branch, a similar vocabulary reappears when theorists describe their analytical starting points, but its function is different. Whether an immanent account begins its analysis from entities or from relations is a methodological choice about where analysis starts, not an ontological claim about what carries properties independently. An immanent account can begin from entities and reconstruct how their properties were constituted through this specific configuration; or it can begin from relations and reconstruct what this specific relational arrangement produced. Neither choice implies that the mechanism holds properties prior to the configuration. Reading an entity-focused methodology as evidence of transcendent ontological commitment, or a relation-focused methodology as evidence of immanent commitment, is one of the most common sources of misattribution in the literature and produces systematic misreading of where accounts actually sit.</w:t>
      </w:r>
    </w:p>
    <w:p>
      <w:pPr>
        <w:spacing w:after="160" w:before="0"/>
        <w:jc w:val="both"/>
      </w:pPr>
      <w:r>
        <w:rPr>
          <w:rFonts w:ascii="Times New Roman" w:cs="Times New Roman" w:eastAsia="Times New Roman" w:hAnsi="Times New Roman"/>
          <w:sz w:val="24"/>
          <w:szCs w:val="24"/>
        </w:rPr>
        <w:t xml:space="preserve">A further consequence of position on the tree concerns temporality, which follows from the ontological commitment rather than being a separate analytical choice. On the transcendent branch, a mechanism's properties are available for analysis at any synchronic cross-section: the historical sequence through which any particular configuration was assembled adds nothing to what the mechanism is, because the mechanism holds its properties prior to any configuration. This is broadly consistent with what philosophers of time call an endurantist position: the mechanism is wholly present at any moment of its existence, and its persistence through time is not constituted by the temporal sequence through which it passes. On the immanent branch, if the mechanism only exists through its expressions and those expressions were assembled through a specific historical sequence, then what the mechanism is in this case cannot be fully specified without reconstructing that sequence. This is closer to a perdurantist position: the mechanism is not wholly present at any synchronic cross-section but is partly constituted by its temporal extent, by the specific sequence of configurations through which it has been assembled and through which it continues to be reproduced. Immanent accounts are therefore committed to diachronic analysis as a matter of ontological necessity rather than methodological preference. The distinction between synchronic and diachronic analysis in social research is often treated as a choice between analytical convenience and historical depth; on the immanent branch, it is an ontological commitment about what social mechanisms actually are and whether they can be specified at a moment rather than through a sequence. An account that claims immanent commitments but proceeds synchronically in practice is not merely being methodologically cautious; it is being inconsistent with its own ontological starting point, and that inconsistency is identifiable in the gap between what the account states about mechanisms and what it does when it actually analyses a case.</w:t>
      </w:r>
    </w:p>
    <w:p>
      <w:pPr>
        <w:spacing w:after="160" w:before="0"/>
        <w:jc w:val="both"/>
      </w:pPr>
      <w:r>
        <w:rPr>
          <w:rFonts w:ascii="Times New Roman" w:cs="Times New Roman" w:eastAsia="Times New Roman" w:hAnsi="Times New Roman"/>
          <w:sz w:val="24"/>
          <w:szCs w:val="24"/>
        </w:rPr>
        <w:t xml:space="preserve">Figure 8.1 presents the branching structure. The root question sits at the top. The two branches, transcendent and immanent, follow from the yes and no answers respectively. On the transcendent branch, the second question, what kind of thing is the independent mechanism, generates three terminal nodes: entity with intrinsic properties, structural position, and generative mechanism at a deeper stratum. On the immanent branch, the second question, whether structural availability can be identified without reintroducing independence, generates two terminal nodes: fully conjunctural causality and structural availability immanent to a historically produced form.</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6"/>
        <w:gridCol w:w="1805"/>
        <w:gridCol w:w="1805"/>
      </w:tblGrid>
      <w:tr>
        <w:tc>
          <w:tcPr>
            <w:gridSpan w:val="5"/>
            <w:tcBorders>
              <w:top w:val="single" w:color="BBBBBB" w:sz="1"/>
              <w:left w:val="single" w:color="BBBBBB" w:sz="1"/>
              <w:bottom w:val="single" w:color="BBBBBB" w:sz="1"/>
              <w:right w:val="single" w:color="BBBBBB" w:sz="1"/>
            </w:tcBorders>
            <w:shd w:fill="1A1A1A" w:val="clear"/>
            <w:tcMar>
              <w:top w:type="dxa" w:w="110"/>
              <w:left w:type="dxa" w:w="160"/>
              <w:bottom w:type="dxa" w:w="110"/>
              <w:right w:type="dxa" w:w="160"/>
            </w:tcMar>
          </w:tcPr>
          <w:p>
            <w:pPr>
              <w:jc w:val="center"/>
            </w:pPr>
            <w:r>
              <w:rPr>
                <w:rFonts w:ascii="Times New Roman" w:cs="Times New Roman" w:eastAsia="Times New Roman" w:hAnsi="Times New Roman"/>
                <w:b/>
                <w:bCs/>
                <w:color w:val="FFFFFF"/>
                <w:sz w:val="20"/>
                <w:szCs w:val="20"/>
              </w:rPr>
              <w:t xml:space="preserve">ROOT QUESTION: Does the mechanism exist independently of its particular expressions?</w:t>
            </w:r>
          </w:p>
        </w:tc>
      </w:tr>
      <w:tr>
        <w:tc>
          <w:tcPr>
            <w:gridSpan w:val="3"/>
            <w:tcBorders>
              <w:top w:val="single" w:color="BBBBBB" w:sz="1"/>
              <w:left w:val="single" w:color="BBBBBB" w:sz="1"/>
              <w:bottom w:val="single" w:color="BBBBBB" w:sz="1"/>
              <w:right w:val="single" w:color="BBBBBB" w:sz="1"/>
            </w:tcBorders>
            <w:shd w:fill="C8C2F2" w:val="clear"/>
            <w:tcMar>
              <w:top w:type="dxa" w:w="90"/>
              <w:left w:type="dxa" w:w="130"/>
              <w:bottom w:type="dxa" w:w="90"/>
              <w:right w:type="dxa" w:w="130"/>
            </w:tcMar>
          </w:tcPr>
          <w:p>
            <w:pPr>
              <w:jc w:val="center"/>
            </w:pPr>
            <w:r>
              <w:rPr>
                <w:rFonts w:ascii="Times New Roman" w:cs="Times New Roman" w:eastAsia="Times New Roman" w:hAnsi="Times New Roman"/>
                <w:b/>
                <w:bCs/>
                <w:color w:val="2E2580"/>
                <w:sz w:val="19"/>
                <w:szCs w:val="19"/>
              </w:rPr>
              <w:t xml:space="preserve">YES — Transcendent branch</w:t>
            </w:r>
          </w:p>
        </w:tc>
        <w:tc>
          <w:tcPr>
            <w:gridSpan w:val="2"/>
            <w:tcBorders>
              <w:top w:val="single" w:color="BBBBBB" w:sz="1"/>
              <w:left w:val="single" w:color="BBBBBB" w:sz="1"/>
              <w:bottom w:val="single" w:color="BBBBBB" w:sz="1"/>
              <w:right w:val="single" w:color="BBBBBB" w:sz="1"/>
            </w:tcBorders>
            <w:shd w:fill="9ADFC4" w:val="clear"/>
            <w:tcMar>
              <w:top w:type="dxa" w:w="90"/>
              <w:left w:type="dxa" w:w="130"/>
              <w:bottom w:type="dxa" w:w="90"/>
              <w:right w:type="dxa" w:w="130"/>
            </w:tcMar>
          </w:tcPr>
          <w:p>
            <w:pPr>
              <w:jc w:val="center"/>
            </w:pPr>
            <w:r>
              <w:rPr>
                <w:rFonts w:ascii="Times New Roman" w:cs="Times New Roman" w:eastAsia="Times New Roman" w:hAnsi="Times New Roman"/>
                <w:b/>
                <w:bCs/>
                <w:color w:val="054D35"/>
                <w:sz w:val="19"/>
                <w:szCs w:val="19"/>
              </w:rPr>
              <w:t xml:space="preserve">NO — Immanent branch</w:t>
            </w:r>
          </w:p>
        </w:tc>
      </w:tr>
      <w:tr>
        <w:tc>
          <w:tcPr>
            <w:gridSpan w:val="3"/>
            <w:tcBorders>
              <w:top w:val="single" w:color="BBBBBB" w:sz="1"/>
              <w:left w:val="single" w:color="BBBBBB" w:sz="1"/>
              <w:bottom w:val="single" w:color="BBBBBB" w:sz="1"/>
              <w:right w:val="single" w:color="BBBBBB" w:sz="1"/>
            </w:tcBorders>
            <w:shd w:fill="E8E5FA" w:val="clear"/>
            <w:tcMar>
              <w:top w:type="dxa" w:w="90"/>
              <w:left w:type="dxa" w:w="130"/>
              <w:bottom w:type="dxa" w:w="90"/>
              <w:right w:type="dxa" w:w="130"/>
            </w:tcMar>
          </w:tcPr>
          <w:p>
            <w:pPr>
              <w:jc w:val="center"/>
            </w:pPr>
            <w:r>
              <w:rPr>
                <w:rFonts w:ascii="Times New Roman" w:cs="Times New Roman" w:eastAsia="Times New Roman" w:hAnsi="Times New Roman"/>
                <w:b w:val="false"/>
                <w:bCs w:val="false"/>
                <w:color w:val="2E2580"/>
                <w:sz w:val="18"/>
                <w:szCs w:val="18"/>
              </w:rPr>
              <w:t xml:space="preserve">Second question:
What kind of thing is the independent mechanism?</w:t>
            </w:r>
          </w:p>
        </w:tc>
        <w:tc>
          <w:tcPr>
            <w:gridSpan w:val="2"/>
            <w:tcBorders>
              <w:top w:val="single" w:color="BBBBBB" w:sz="1"/>
              <w:left w:val="single" w:color="BBBBBB" w:sz="1"/>
              <w:bottom w:val="single" w:color="BBBBBB" w:sz="1"/>
              <w:right w:val="single" w:color="BBBBBB" w:sz="1"/>
            </w:tcBorders>
            <w:shd w:fill="D5F3E6" w:val="clear"/>
            <w:tcMar>
              <w:top w:type="dxa" w:w="90"/>
              <w:left w:type="dxa" w:w="130"/>
              <w:bottom w:type="dxa" w:w="90"/>
              <w:right w:type="dxa" w:w="130"/>
            </w:tcMar>
          </w:tcPr>
          <w:p>
            <w:pPr>
              <w:jc w:val="center"/>
            </w:pPr>
            <w:r>
              <w:rPr>
                <w:rFonts w:ascii="Times New Roman" w:cs="Times New Roman" w:eastAsia="Times New Roman" w:hAnsi="Times New Roman"/>
                <w:b w:val="false"/>
                <w:bCs w:val="false"/>
                <w:color w:val="054D35"/>
                <w:sz w:val="18"/>
                <w:szCs w:val="18"/>
              </w:rPr>
              <w:t xml:space="preserve">Second question:
Can structural availability be identified without reintroducing independence?</w:t>
            </w:r>
          </w:p>
        </w:tc>
      </w:tr>
      <w:tr>
        <w:tc>
          <w:tcPr>
            <w:tcBorders>
              <w:top w:val="single" w:color="BBBBBB" w:sz="1"/>
              <w:left w:val="single" w:color="BBBBBB" w:sz="1"/>
              <w:bottom w:val="single" w:color="BBBBBB" w:sz="1"/>
              <w:right w:val="single" w:color="BBBBBB" w:sz="1"/>
            </w:tcBorders>
            <w:shd w:fill="EDEAF9" w:val="clear"/>
            <w:tcMar>
              <w:top w:type="dxa" w:w="80"/>
              <w:left w:type="dxa" w:w="110"/>
              <w:bottom w:type="dxa" w:w="80"/>
              <w:right w:type="dxa" w:w="110"/>
            </w:tcMar>
          </w:tcPr>
          <w:p>
            <w:pPr>
              <w:jc w:val="center"/>
            </w:pPr>
            <w:r>
              <w:rPr>
                <w:rFonts w:ascii="Times New Roman" w:cs="Times New Roman" w:eastAsia="Times New Roman" w:hAnsi="Times New Roman"/>
                <w:b/>
                <w:bCs/>
                <w:sz w:val="18"/>
                <w:szCs w:val="18"/>
              </w:rPr>
              <w:t xml:space="preserve">Entity with
intrinsic properties</w:t>
            </w:r>
          </w:p>
        </w:tc>
        <w:tc>
          <w:tcPr>
            <w:tcBorders>
              <w:top w:val="single" w:color="BBBBBB" w:sz="1"/>
              <w:left w:val="single" w:color="BBBBBB" w:sz="1"/>
              <w:bottom w:val="single" w:color="BBBBBB" w:sz="1"/>
              <w:right w:val="single" w:color="BBBBBB" w:sz="1"/>
            </w:tcBorders>
            <w:shd w:fill="EDEAF9" w:val="clear"/>
            <w:tcMar>
              <w:top w:type="dxa" w:w="80"/>
              <w:left w:type="dxa" w:w="110"/>
              <w:bottom w:type="dxa" w:w="80"/>
              <w:right w:type="dxa" w:w="110"/>
            </w:tcMar>
          </w:tcPr>
          <w:p>
            <w:pPr>
              <w:jc w:val="center"/>
            </w:pPr>
            <w:r>
              <w:rPr>
                <w:rFonts w:ascii="Times New Roman" w:cs="Times New Roman" w:eastAsia="Times New Roman" w:hAnsi="Times New Roman"/>
                <w:b/>
                <w:bCs/>
                <w:sz w:val="18"/>
                <w:szCs w:val="18"/>
              </w:rPr>
              <w:t xml:space="preserve">Structural
position</w:t>
            </w:r>
          </w:p>
        </w:tc>
        <w:tc>
          <w:tcPr>
            <w:tcBorders>
              <w:top w:val="single" w:color="BBBBBB" w:sz="1"/>
              <w:left w:val="single" w:color="BBBBBB" w:sz="1"/>
              <w:bottom w:val="single" w:color="BBBBBB" w:sz="1"/>
              <w:right w:val="single" w:color="BBBBBB" w:sz="1"/>
            </w:tcBorders>
            <w:shd w:fill="EDEAF9" w:val="clear"/>
            <w:tcMar>
              <w:top w:type="dxa" w:w="80"/>
              <w:left w:type="dxa" w:w="110"/>
              <w:bottom w:type="dxa" w:w="80"/>
              <w:right w:type="dxa" w:w="110"/>
            </w:tcMar>
          </w:tcPr>
          <w:p>
            <w:pPr>
              <w:jc w:val="center"/>
            </w:pPr>
            <w:r>
              <w:rPr>
                <w:rFonts w:ascii="Times New Roman" w:cs="Times New Roman" w:eastAsia="Times New Roman" w:hAnsi="Times New Roman"/>
                <w:b/>
                <w:bCs/>
                <w:sz w:val="18"/>
                <w:szCs w:val="18"/>
              </w:rPr>
              <w:t xml:space="preserve">Generative mechanism
at deeper stratum</w:t>
            </w:r>
          </w:p>
        </w:tc>
        <w:tc>
          <w:tcPr>
            <w:tcBorders>
              <w:top w:val="single" w:color="BBBBBB" w:sz="1"/>
              <w:left w:val="single" w:color="BBBBBB" w:sz="1"/>
              <w:bottom w:val="single" w:color="BBBBBB" w:sz="1"/>
              <w:right w:val="single" w:color="BBBBBB" w:sz="1"/>
            </w:tcBorders>
            <w:shd w:fill="E0F7EE" w:val="clear"/>
            <w:tcMar>
              <w:top w:type="dxa" w:w="80"/>
              <w:left w:type="dxa" w:w="110"/>
              <w:bottom w:type="dxa" w:w="80"/>
              <w:right w:type="dxa" w:w="110"/>
            </w:tcMar>
          </w:tcPr>
          <w:p>
            <w:pPr>
              <w:jc w:val="center"/>
            </w:pPr>
            <w:r>
              <w:rPr>
                <w:rFonts w:ascii="Times New Roman" w:cs="Times New Roman" w:eastAsia="Times New Roman" w:hAnsi="Times New Roman"/>
                <w:b/>
                <w:bCs/>
                <w:sz w:val="18"/>
                <w:szCs w:val="18"/>
              </w:rPr>
              <w:t xml:space="preserve">No: fully
conjunctural causality</w:t>
            </w:r>
          </w:p>
        </w:tc>
        <w:tc>
          <w:tcPr>
            <w:tcBorders>
              <w:top w:val="single" w:color="BBBBBB" w:sz="1"/>
              <w:left w:val="single" w:color="BBBBBB" w:sz="1"/>
              <w:bottom w:val="single" w:color="BBBBBB" w:sz="1"/>
              <w:right w:val="single" w:color="BBBBBB" w:sz="1"/>
            </w:tcBorders>
            <w:shd w:fill="E0F7EE" w:val="clear"/>
            <w:tcMar>
              <w:top w:type="dxa" w:w="80"/>
              <w:left w:type="dxa" w:w="110"/>
              <w:bottom w:type="dxa" w:w="80"/>
              <w:right w:type="dxa" w:w="110"/>
            </w:tcMar>
          </w:tcPr>
          <w:p>
            <w:pPr>
              <w:jc w:val="center"/>
            </w:pPr>
            <w:r>
              <w:rPr>
                <w:rFonts w:ascii="Times New Roman" w:cs="Times New Roman" w:eastAsia="Times New Roman" w:hAnsi="Times New Roman"/>
                <w:b/>
                <w:bCs/>
                <w:sz w:val="18"/>
                <w:szCs w:val="18"/>
              </w:rPr>
              <w:t xml:space="preserve">Yes: structural
availability</w:t>
            </w:r>
          </w:p>
        </w:tc>
      </w:tr>
      <w:tr>
        <w:tc>
          <w:tcPr>
            <w:tcBorders>
              <w:top w:val="single" w:color="BBBBBB" w:sz="1"/>
              <w:left w:val="single" w:color="BBBBBB" w:sz="1"/>
              <w:bottom w:val="single" w:color="BBBBBB" w:sz="1"/>
              <w:right w:val="single" w:color="BBBBBB" w:sz="1"/>
            </w:tcBorders>
            <w:shd w:fill="F5F4FD"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7"/>
                <w:szCs w:val="17"/>
              </w:rPr>
              <w:t xml:space="preserve">Parsons, Durkheim,
rational choice</w:t>
            </w:r>
          </w:p>
        </w:tc>
        <w:tc>
          <w:tcPr>
            <w:tcBorders>
              <w:top w:val="single" w:color="BBBBBB" w:sz="1"/>
              <w:left w:val="single" w:color="BBBBBB" w:sz="1"/>
              <w:bottom w:val="single" w:color="BBBBBB" w:sz="1"/>
              <w:right w:val="single" w:color="BBBBBB" w:sz="1"/>
            </w:tcBorders>
            <w:shd w:fill="F5F4FD"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7"/>
                <w:szCs w:val="17"/>
              </w:rPr>
              <w:t xml:space="preserve">Althusser,
structural Marxism</w:t>
            </w:r>
          </w:p>
        </w:tc>
        <w:tc>
          <w:tcPr>
            <w:tcBorders>
              <w:top w:val="single" w:color="BBBBBB" w:sz="1"/>
              <w:left w:val="single" w:color="BBBBBB" w:sz="1"/>
              <w:bottom w:val="single" w:color="BBBBBB" w:sz="1"/>
              <w:right w:val="single" w:color="BBBBBB" w:sz="1"/>
            </w:tcBorders>
            <w:shd w:fill="F5F4FD"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7"/>
                <w:szCs w:val="17"/>
              </w:rPr>
              <w:t xml:space="preserve">Bhaskar,
critical realism (CR)</w:t>
            </w:r>
          </w:p>
        </w:tc>
        <w:tc>
          <w:tcPr>
            <w:tcBorders>
              <w:top w:val="single" w:color="BBBBBB" w:sz="1"/>
              <w:left w:val="single" w:color="BBBBBB" w:sz="1"/>
              <w:bottom w:val="single" w:color="BBBBBB" w:sz="1"/>
              <w:right w:val="single" w:color="BBBBBB" w:sz="1"/>
            </w:tcBorders>
            <w:shd w:fill="EEFAF4"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7"/>
                <w:szCs w:val="17"/>
              </w:rPr>
              <w:t xml:space="preserve">Weber,
Deleuze, Geertz</w:t>
            </w:r>
          </w:p>
        </w:tc>
        <w:tc>
          <w:tcPr>
            <w:tcBorders>
              <w:top w:val="single" w:color="BBBBBB" w:sz="1"/>
              <w:left w:val="single" w:color="BBBBBB" w:sz="1"/>
              <w:bottom w:val="single" w:color="BBBBBB" w:sz="1"/>
              <w:right w:val="single" w:color="BBBBBB" w:sz="1"/>
            </w:tcBorders>
            <w:shd w:fill="EEFAF4"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7"/>
                <w:szCs w:val="17"/>
              </w:rPr>
              <w:t xml:space="preserve">Gramsci, Bourdieu,
Marx (qualified), Knio</w:t>
            </w:r>
          </w:p>
        </w:tc>
      </w:tr>
    </w:tbl>
    <w:p>
      <w:pPr>
        <w:spacing w:after="200" w:before="80"/>
        <w:jc w:val="center"/>
      </w:pPr>
      <w:r>
        <w:rPr>
          <w:rFonts w:ascii="Times New Roman" w:cs="Times New Roman" w:eastAsia="Times New Roman" w:hAnsi="Times New Roman"/>
          <w:i/>
          <w:iCs/>
          <w:sz w:val="20"/>
          <w:szCs w:val="20"/>
        </w:rPr>
        <w:t xml:space="preserve">Figure 8.1: The branching structure of the transcendence and immanence debate.</w:t>
      </w:r>
    </w:p>
    <w:p>
      <w:pPr>
        <w:spacing w:after="80"/>
      </w:pPr>
      <w:r>
        <w:t xml:space="preserve"/>
      </w:r>
    </w:p>
    <w:p>
      <w:pPr>
        <w:pStyle w:val="Heading2"/>
        <w:spacing w:after="140" w:before="220"/>
      </w:pPr>
      <w:r>
        <w:rPr>
          <w:rFonts w:ascii="Times New Roman" w:cs="Times New Roman" w:eastAsia="Times New Roman" w:hAnsi="Times New Roman"/>
          <w:b/>
          <w:bCs/>
          <w:sz w:val="26"/>
          <w:szCs w:val="26"/>
        </w:rPr>
        <w:t xml:space="preserve">8.3.1 The Transcendent Branch: The Three Nodes</w:t>
      </w:r>
    </w:p>
    <w:p>
      <w:pPr>
        <w:spacing w:after="160" w:before="0"/>
        <w:jc w:val="both"/>
      </w:pPr>
      <w:r>
        <w:rPr>
          <w:rFonts w:ascii="Times New Roman" w:cs="Times New Roman" w:eastAsia="Times New Roman" w:hAnsi="Times New Roman"/>
          <w:sz w:val="24"/>
          <w:szCs w:val="24"/>
        </w:rPr>
        <w:t xml:space="preserve">The entity node holds that mechanisms carry their causal properties intrinsically, by virtue of what kind of thing they are. The mechanism is identified by classifying what kind of entity is present, and its properties are available wherever that kind of entity exists. The persistent causal logic it exercises holds across configurations because it is grounded in those intrinsic properties, not in anything specific to any configuration. Consider social integration as a first orientation: on an entity-level account, social integration has properties that make it what it is wherever it appears, and those properties generate their characteristic causal effects regardless of whether the society in question is nineteenth-century France or twenty-first-century Brazil. The configuration provides the setting; the entity provides the causal force. The primary explanatory burden of this node concerns differential outcomes: if the mechanism holds its intrinsic properties wherever it is present, what explains why it produces different effects in different configurations? The further configurational specifications multiply to address this question, the greater the pressure on the claim that the mechanism's properties are genuinely intrinsic.</w:t>
      </w:r>
    </w:p>
    <w:p>
      <w:pPr>
        <w:spacing w:after="160" w:before="0"/>
        <w:jc w:val="both"/>
      </w:pPr>
      <w:r>
        <w:rPr>
          <w:rFonts w:ascii="Times New Roman" w:cs="Times New Roman" w:eastAsia="Times New Roman" w:hAnsi="Times New Roman"/>
          <w:sz w:val="24"/>
          <w:szCs w:val="24"/>
        </w:rPr>
        <w:t xml:space="preserve">The structural position node holds that mechanisms have their causal properties in positions within structural arrangements that exist prior to and independently of which particular entities fill them. The causal bearer is the arrangement of positions itself rather than any element within it. The persistent causal logic belongs to the structure's arrangement, not to the entities. The critical distinction between this node and the entity node is that the structural arrangement is not reducible to any of its current occupants: the same position generates the same causal force whoever fills it, which means the causal bearer cannot be specified at the level of the entity. The critical distinction between this node and the generative mechanism node is that the structure is a configuration of observable positions rather than a real stratum beneath the observable inferred through retroduction: the structure is visible in its arrangement, not inferred from its effects. The primary explanatory burden of this node concerns the mode of existence of the arrangement itself: what kind of thing is the structure if it is neither an entity nor reducible to the entities within it, and how does it hold its determining properties independently of its occupants without being a deeper stratum in the way the generative mechanism node requires? Classical structuralist and functionalist anthropology also occupies this node: for Radcliffe-Brown and Lévi-Strauss, kinship and exchange structures are arrangements of positions whose logic holds independently of the individuals who occupy them (Radcliffe-Brown, 1952; Lévi-Strauss, 1963), and Malinowski’s functionalism, by explaining institutions through the needs they serve, likewise treats those functional requirements as specified prior to any particular configuration (Malinowski, 1944).</w:t>
      </w:r>
    </w:p>
    <w:p>
      <w:pPr>
        <w:spacing w:after="160" w:before="0"/>
        <w:jc w:val="both"/>
      </w:pPr>
      <w:r>
        <w:rPr>
          <w:rFonts w:ascii="Times New Roman" w:cs="Times New Roman" w:eastAsia="Times New Roman" w:hAnsi="Times New Roman"/>
          <w:sz w:val="24"/>
          <w:szCs w:val="24"/>
        </w:rPr>
        <w:t xml:space="preserve">The generative mechanism node holds that mechanisms operate at a deeper ontological stratum than the observable social arrangements through which they are expressed. They are identified through retroduction: asking what must exist at that deeper level for the patterns observable at the surface to be possible. The intrinsic properties of the mechanism at the level of the real are held independently of whether and how they are expressed at the level of the actual. The critical distinction from the structural position node is stratification: the mechanism is not an arrangement of observable positions but a real structure inferred from effects, existing at a level that is not directly accessible to observation and that is independent of any particular configuration at the level of the actual. The primary explanatory burden of this node concerns the open-systems problem: in open social systems where multiple mechanisms interact, the same mechanism produces different outcomes in different configurations. The account must specify what the mechanism is at the level of the real in a way that remains stable across those varied expressions, rather than shifting as each new configuration of conditions is encountered.</w:t>
      </w:r>
    </w:p>
    <w:p>
      <w:pPr>
        <w:pStyle w:val="Heading2"/>
        <w:spacing w:after="140" w:before="220"/>
      </w:pPr>
      <w:r>
        <w:rPr>
          <w:rFonts w:ascii="Times New Roman" w:cs="Times New Roman" w:eastAsia="Times New Roman" w:hAnsi="Times New Roman"/>
          <w:b/>
          <w:bCs/>
          <w:sz w:val="26"/>
          <w:szCs w:val="26"/>
        </w:rPr>
        <w:t xml:space="preserve">8.3.2 The Immanent Branch: The Two Nodes</w:t>
      </w:r>
    </w:p>
    <w:p>
      <w:pPr>
        <w:spacing w:after="160" w:before="0"/>
        <w:jc w:val="both"/>
      </w:pPr>
      <w:r>
        <w:rPr>
          <w:rFonts w:ascii="Times New Roman" w:cs="Times New Roman" w:eastAsia="Times New Roman" w:hAnsi="Times New Roman"/>
          <w:sz w:val="24"/>
          <w:szCs w:val="24"/>
        </w:rPr>
        <w:t xml:space="preserve">The fully conjunctural node holds that mechanisms exist only through the particular conjunction of conditions assembled in each case, and no claims about causal logic travel across cases without fresh argument from the specific features of each new case. The causal logic is constituted through this conjunction; there is no structural availability to be identified across configurations, and no persistent causal logic that holds independently of the specific conditions assembled. The primary explanatory burden of this node concerns the comparative move: any claim that two cases are similar in a relevant way implies some basis for that comparison that holds across both cases. Maintaining genuinely conjunctural commitments while making comparative or theoretical claims requires specifying how that basis is established without importing structural availability claims.</w:t>
      </w:r>
    </w:p>
    <w:p>
      <w:pPr>
        <w:spacing w:after="160" w:before="0"/>
        <w:jc w:val="both"/>
      </w:pPr>
      <w:r>
        <w:rPr>
          <w:rFonts w:ascii="Times New Roman" w:cs="Times New Roman" w:eastAsia="Times New Roman" w:hAnsi="Times New Roman"/>
          <w:sz w:val="24"/>
          <w:szCs w:val="24"/>
        </w:rPr>
        <w:t xml:space="preserve">The structural availability node holds that mechanisms exist only through their expressions and hold no properties prior to any configuration, yet that structural availability can be identified across configurations sharing a historically produced form. The mechanism's properties are relational: they are constituted through and inseparable from the specific social relations that produced the form. The structural availability is immanent to that form's reproduction: it holds because the relational configuration generating the form continues to be reproduced, not because the mechanism holds anything independently. The primary explanatory burden of this node concerns pressure from two directions simultaneously. From the transcendent direction: what distinguishes structurally available logic from a transcendent mechanism that holds its properties wherever its conditions are present? The answer must rest on the conditionality of the form's reproduction: the availability depends on a social achievement, not on any independent property. From the immanent direction: the specification of what the historically produced form consists of must itself be derived from cases rather than held prior to them, or the specification reintroduces independence at a different level.</w:t>
      </w:r>
    </w:p>
    <w:p>
      <w:pPr>
        <w:spacing w:after="160" w:before="0"/>
        <w:jc w:val="both"/>
      </w:pPr>
      <w:r>
        <w:rPr>
          <w:rFonts w:ascii="Times New Roman" w:cs="Times New Roman" w:eastAsia="Times New Roman" w:hAnsi="Times New Roman"/>
          <w:sz w:val="24"/>
          <w:szCs w:val="24"/>
        </w:rPr>
        <w:t xml:space="preserve">A clarifying contrast between the structural position node on the transcendent branch and the structural availability node on the immanent branch is useful here, because they can appear superficially similar: both locate causal logic in something that resembles a relational arrangement rather than in individual entities. The difference is fundamental. On the transcendent branch, the structural position holds its determining properties prior to and independently of which particular entities occupy it, and prior to any specific historical configuration of those entities. The arrangement is transcendent relative to its occupants. On the immanent branch, the structural availability is generated through the ongoing reproduction of a historically produced form whose existence depends on the specific relational configuration that continues to reproduce it. It holds because the form is being reproduced, and it would cease to hold if that reproduction failed. The transcendent structural position is there regardless; the immanent structural availability exists only through what is currently being done. This distinction is easiest to see in practice by asking: if the entities currently reproducing the form stopped doing so, would the structural logic persist? A transcendent structural position account answers yes: the structure holds its properties independently of any particular set of occupants. An immanent structural availability account answers no: without the reproduction of the historically produced relational configuration, the structural availability would cease.</w:t>
      </w:r>
    </w:p>
    <w:p>
      <w:pPr>
        <w:pStyle w:val="Heading2"/>
        <w:spacing w:after="160" w:before="280"/>
      </w:pPr>
      <w:r>
        <w:t>8.4 Diagnostic Probes</w:t>
      </w:r>
    </w:p>
    <w:p>
      <w:pPr>
        <w:spacing w:after="160" w:before="0"/>
        <w:jc w:val="both"/>
      </w:pPr>
      <w:r>
        <w:rPr>
          <w:rFonts w:ascii="Times New Roman" w:cs="Times New Roman" w:eastAsia="Times New Roman" w:hAnsi="Times New Roman"/>
          <w:sz w:val="24"/>
          <w:szCs w:val="24"/>
        </w:rPr>
        <w:t xml:space="preserve">The transcendence and immanence debate requires a branching diagnostic apparatus rather than a uniform set of questions applied to all accounts. The first question is shared and places the account on the transcendent or immanent branch. The second question differs on each branch, probing the internal differentiation that each branch generates. A final section examines the characteristic tensions that follow from occupying each position, and the points at which each position tends to break down under analytical pressure.</w:t>
      </w:r>
    </w:p>
    <w:p>
      <w:pPr>
        <w:spacing w:after="160" w:before="0"/>
        <w:jc w:val="both"/>
      </w:pPr>
      <w:r>
        <w:rPr>
          <w:rFonts w:ascii="Times New Roman" w:cs="Times New Roman" w:eastAsia="Times New Roman" w:hAnsi="Times New Roman"/>
          <w:sz w:val="24"/>
          <w:szCs w:val="24"/>
        </w:rPr>
        <w:t xml:space="preserve">A prior note on reading is necessary, recalling the distinction between thematic and ontological reading developed in Chapter 4. The diagnostic questions probe what an account presupposes at the level of its basic ontological commitments, which is not always what the account states explicitly. The gap between what a theoretical corpus claims ontologically and what it does analytically when it encounters hard cases is precisely what the questions are designed to reveal. This requires reading the analytical practice of an account, not only its theoretical self-presentation. A theorist can claim immanent commitments while in practice specifying mechanisms in terms general enough to function as intrinsic properties available prior to any particular case; a theorist can claim transcendent commitments while in practice doing all the explanatory work through configurational reconstruction. The questions are designed to catch both of these moves.</w:t>
      </w:r>
    </w:p>
    <w:p>
      <w:pPr>
        <w:pStyle w:val="Heading2"/>
        <w:spacing w:after="140" w:before="220"/>
      </w:pPr>
      <w:r>
        <w:rPr>
          <w:rFonts w:ascii="Times New Roman" w:cs="Times New Roman" w:eastAsia="Times New Roman" w:hAnsi="Times New Roman"/>
          <w:b/>
          <w:bCs/>
          <w:sz w:val="26"/>
          <w:szCs w:val="26"/>
        </w:rPr>
        <w:t xml:space="preserve">8.4.1 The First Question</w:t>
      </w:r>
    </w:p>
    <w:p>
      <w:pPr>
        <w:spacing w:after="160" w:before="0"/>
        <w:jc w:val="both"/>
      </w:pPr>
      <w:r>
        <w:rPr>
          <w:rFonts w:ascii="Times New Roman" w:cs="Times New Roman" w:eastAsia="Times New Roman" w:hAnsi="Times New Roman"/>
          <w:sz w:val="24"/>
          <w:szCs w:val="24"/>
        </w:rPr>
        <w:t xml:space="preserve">When the account identifies a causal mechanism, does it treat that mechanism as holding its properties, whether intrinsic properties of an entity, properties of a structural position, or causal powers at a deeper ontological stratum, prior to and independently of any particular configuration in which it operates? Or does it treat the mechanism as only becoming specifiable through the reconstruction of the specific conjunction of conditions assembled in a particular case?</w:t>
      </w:r>
    </w:p>
    <w:p>
      <w:pPr>
        <w:spacing w:after="160" w:before="0"/>
        <w:jc w:val="both"/>
      </w:pPr>
      <w:r>
        <w:rPr>
          <w:rFonts w:ascii="Times New Roman" w:cs="Times New Roman" w:eastAsia="Times New Roman" w:hAnsi="Times New Roman"/>
          <w:sz w:val="24"/>
          <w:szCs w:val="24"/>
        </w:rPr>
        <w:t xml:space="preserve">An account that treats the mechanism as holding its properties prior to any configuration is on the transcendent branch. The mechanism is what it is before any case is examined, and the case is where the mechanism's properties are expressed, perhaps modified in their effects by what else is present, but not constituted by the configuration. An account that can only specify what the mechanism is by reconstructing what was assembled in this specific case is on the immanent branch. The mechanism does not hold relational properties that were constituted through prior configurations and are now fixed; it only exists as this conjunction of conditions, and no version of it is available for analysis prior to that reconstruction.</w:t>
      </w:r>
    </w:p>
    <w:p>
      <w:pPr>
        <w:spacing w:after="160" w:before="0"/>
        <w:jc w:val="both"/>
      </w:pPr>
      <w:r>
        <w:rPr>
          <w:rFonts w:ascii="Times New Roman" w:cs="Times New Roman" w:eastAsia="Times New Roman" w:hAnsi="Times New Roman"/>
          <w:sz w:val="24"/>
          <w:szCs w:val="24"/>
        </w:rPr>
        <w:t xml:space="preserve">The methodological signal is the direction of the analytical movement. On the transcendent side, the movement runs from the mechanism to the case: the mechanism's intrinsic properties or causal powers are identified, and the case is where they are expressed. The configuration may modify the outcomes through interaction with other mechanisms, but it does not change what the mechanism is. On the immanent side, the movement runs from the case outward: the configuration is the primary analytical object, and what the mechanism is can only be stated as a description of what this specific conjunction of conditions produces. Any claim that holds beyond this case requires fresh argument from the features of each additional case, because the mechanism has no properties available prior to those cases.</w:t>
      </w:r>
    </w:p>
    <w:p>
      <w:pPr>
        <w:spacing w:after="160" w:before="0"/>
        <w:jc w:val="both"/>
      </w:pPr>
      <w:r>
        <w:rPr>
          <w:rFonts w:ascii="Times New Roman" w:cs="Times New Roman" w:eastAsia="Times New Roman" w:hAnsi="Times New Roman"/>
          <w:sz w:val="24"/>
          <w:szCs w:val="24"/>
        </w:rPr>
        <w:t xml:space="preserve">A note on the direction of the properties-relations relationship is useful here. On the transcendent branch, properties are prior to relations: the mechanism holds its intrinsic properties independently of the relational configuration in which it currently operates, and the relations are the medium through which those properties are expressed or modified. On the immanent branch, relations are prior to properties: what the mechanism is, and therefore what properties it has, is constituted through the specific relations assembled in each case, and there are no properties prior to those relations. This directionality is one of the clearest signals for locating an account on the tree, and it helps explain why the properties-relations question and the transcendence-immanence question are so closely connected: answering one tends to constrain the answer to the other, even though they remain analytically distinct.</w:t>
      </w:r>
    </w:p>
    <w:p>
      <w:pPr>
        <w:pStyle w:val="Heading2"/>
        <w:spacing w:after="140" w:before="220"/>
      </w:pPr>
      <w:r>
        <w:rPr>
          <w:rFonts w:ascii="Times New Roman" w:cs="Times New Roman" w:eastAsia="Times New Roman" w:hAnsi="Times New Roman"/>
          <w:b/>
          <w:bCs/>
          <w:sz w:val="26"/>
          <w:szCs w:val="26"/>
        </w:rPr>
        <w:t xml:space="preserve">8.4.2 The Second Question on the Transcendent Branch</w:t>
      </w:r>
    </w:p>
    <w:p>
      <w:pPr>
        <w:spacing w:after="160" w:before="0"/>
        <w:jc w:val="both"/>
      </w:pPr>
      <w:r>
        <w:rPr>
          <w:rFonts w:ascii="Times New Roman" w:cs="Times New Roman" w:eastAsia="Times New Roman" w:hAnsi="Times New Roman"/>
          <w:sz w:val="24"/>
          <w:szCs w:val="24"/>
        </w:rPr>
        <w:t xml:space="preserve">The three transcendent nodes are distinguishable by what kind of thing the account takes to be the bearer of the properties that the mechanism holds independently. This second question matters because accounts that share the transcendent commitment can still be making very different claims about what kind of thing the independent mechanism is, and those differences carry different explanatory implications and face different explanatory burdens.</w:t>
      </w:r>
    </w:p>
    <w:p>
      <w:pPr>
        <w:spacing w:after="160" w:before="0"/>
        <w:jc w:val="both"/>
      </w:pPr>
      <w:r>
        <w:rPr>
          <w:rFonts w:ascii="Times New Roman" w:cs="Times New Roman" w:eastAsia="Times New Roman" w:hAnsi="Times New Roman"/>
          <w:sz w:val="24"/>
          <w:szCs w:val="24"/>
        </w:rPr>
        <w:t xml:space="preserve">The entity node takes the mechanism to be an entity that holds its causal properties intrinsically, by virtue of what kind of entity it is. The mechanism is identified by classifying what kind of entity is present in the configuration under analysis. Its properties are available wherever entities of that kind are found; the configuration determines whether the conditions for activation are present, but it does not determine what the mechanism is. When the account encounters variation in outcomes across configurations, it explains that variation by appealing either to variation in the type or degree of the entity present, or to variation in the conditions that allow the entity's intrinsic properties to be expressed. The configuration is always the medium of expression, never the source of the mechanism's properties.</w:t>
      </w:r>
    </w:p>
    <w:p>
      <w:pPr>
        <w:spacing w:after="160" w:before="0"/>
        <w:jc w:val="both"/>
      </w:pPr>
      <w:r>
        <w:rPr>
          <w:rFonts w:ascii="Times New Roman" w:cs="Times New Roman" w:eastAsia="Times New Roman" w:hAnsi="Times New Roman"/>
          <w:sz w:val="24"/>
          <w:szCs w:val="24"/>
        </w:rPr>
        <w:t xml:space="preserve">The structural position node takes the mechanism to be located in positions within a structural arrangement that exists independently of which particular entities currently occupy those positions. The arrangement itself is the causal bearer, not any entity within it. What distinguishes this from the entity node is that the same entity produces different causal contributions depending on which structural position it occupies: it is not what the entity intrinsically is that matters, but where it sits within the arrangement. This might appear to be a relational claim, because the mechanism seems to depend on relations among positions rather than on intrinsic entity properties. But the structural position node remains firmly on the transcendent branch because the arrangement itself exists independently of its current occupants: the positions and their relations hold their determining properties prior to any particular set of entities filling them. The arrangement is transcendent relative to its occupants even if it is not transcendent relative to all social relations whatsoever. The explanatory burden this creates is specifying what kind of thing the arrangement is: it cannot be the entities themselves, because it holds independently of them, but it must have some mode of existence that sustains its causal force without recourse to a deeper inferred stratum.</w:t>
      </w:r>
    </w:p>
    <w:p>
      <w:pPr>
        <w:spacing w:after="160" w:before="0"/>
        <w:jc w:val="both"/>
      </w:pPr>
      <w:r>
        <w:rPr>
          <w:rFonts w:ascii="Times New Roman" w:cs="Times New Roman" w:eastAsia="Times New Roman" w:hAnsi="Times New Roman"/>
          <w:sz w:val="24"/>
          <w:szCs w:val="24"/>
        </w:rPr>
        <w:t xml:space="preserve">The generative mechanism node takes the mechanism to exist at a deeper ontological stratum than the observable arrangements of entities and positions through which it is expressed. The mechanism is not identified by classifying entities or mapping structural positions but by asking what must exist, at a level beneath the observable, for the patterns at the level of the actual to be possible. This is the retroductive procedure characteristic of CR. The independence of the mechanism from any particular configuration is stronger here than at the structural position node: the mechanism holds its intrinsic causal powers at the level of the real regardless not just of which entities fill positions but of what configuration of actual events and outcomes obtains at the level of the actual. The explanatory burden is the open-systems problem: if the same mechanism at the level of the real produces different outcomes at the level of the actual in different configurations, the account must specify the mechanism's properties in a way that is stable across those varied expressions, rather than allowing the specification to shift as each new configuration is encountered.</w:t>
      </w:r>
    </w:p>
    <w:p>
      <w:pPr>
        <w:pStyle w:val="Heading2"/>
        <w:spacing w:after="140" w:before="220"/>
      </w:pPr>
      <w:r>
        <w:rPr>
          <w:rFonts w:ascii="Times New Roman" w:cs="Times New Roman" w:eastAsia="Times New Roman" w:hAnsi="Times New Roman"/>
          <w:b/>
          <w:bCs/>
          <w:sz w:val="26"/>
          <w:szCs w:val="26"/>
        </w:rPr>
        <w:t xml:space="preserve">8.4.3 The Second Question on the Immanent Branch</w:t>
      </w:r>
    </w:p>
    <w:p>
      <w:pPr>
        <w:spacing w:after="160" w:before="0"/>
        <w:jc w:val="both"/>
      </w:pPr>
      <w:r>
        <w:rPr>
          <w:rFonts w:ascii="Times New Roman" w:cs="Times New Roman" w:eastAsia="Times New Roman" w:hAnsi="Times New Roman"/>
          <w:sz w:val="24"/>
          <w:szCs w:val="24"/>
        </w:rPr>
        <w:t xml:space="preserve">When the account makes a claim that holds across more than one case, what is the status of that claim? This is the question that distinguishes the two immanent nodes, and it turns on what the account does with the causal logic it identifies in any given configuration.</w:t>
      </w:r>
    </w:p>
    <w:p>
      <w:pPr>
        <w:spacing w:after="160" w:before="0"/>
        <w:jc w:val="both"/>
      </w:pPr>
      <w:r>
        <w:rPr>
          <w:rFonts w:ascii="Times New Roman" w:cs="Times New Roman" w:eastAsia="Times New Roman" w:hAnsi="Times New Roman"/>
          <w:sz w:val="24"/>
          <w:szCs w:val="24"/>
        </w:rPr>
        <w:t xml:space="preserve">The fully conjunctural answer is that no claim holds across cases without fresh argument from the specific features of each new case. The conjunctural causality identified in one configuration is a property of that specific conjunction of conditions: it tells us what was causally operative here, given what was assembled here, not what would be causally operative elsewhere. Comparison is possible, but it is comparison of configurations reconstructed in their own terms, not identification of a shared mechanism whose causal logic recurs. Any vocabulary that implies recurrence, any claim that two configurations share a form whose logic holds across both, is a structural availability claim and must be justified as such rather than assumed.</w:t>
      </w:r>
    </w:p>
    <w:p>
      <w:pPr>
        <w:spacing w:after="160" w:before="0"/>
        <w:jc w:val="both"/>
      </w:pPr>
      <w:r>
        <w:rPr>
          <w:rFonts w:ascii="Times New Roman" w:cs="Times New Roman" w:eastAsia="Times New Roman" w:hAnsi="Times New Roman"/>
          <w:sz w:val="24"/>
          <w:szCs w:val="24"/>
        </w:rPr>
        <w:t xml:space="preserve">The structural availability answer is that certain tendencies are identifiable across configurations that share a historically produced form, and those tendencies hold because the form is reproduced rather than because the mechanism holds intrinsic properties. The structural availability is immanent to the reproduction of the form: it holds wherever the relational configuration generating the form continues to be reproduced, and would cease to hold if that reproduction failed. The key distinction from the transcendent branch is conditionality: the availability depends on a social achievement, the ongoing reproduction of a historically produced relational configuration, not on any properties held independently of that reproduction. The key distinction from the fully conjunctural node is that the account does identify something that holds across configurations, but grounds that holding in the shared form rather than in any mechanism available prior to it.</w:t>
      </w:r>
    </w:p>
    <w:p>
      <w:pPr>
        <w:pStyle w:val="Heading2"/>
        <w:spacing w:after="140" w:before="220"/>
      </w:pPr>
      <w:r>
        <w:rPr>
          <w:rFonts w:ascii="Times New Roman" w:cs="Times New Roman" w:eastAsia="Times New Roman" w:hAnsi="Times New Roman"/>
          <w:b/>
          <w:bCs/>
          <w:sz w:val="26"/>
          <w:szCs w:val="26"/>
        </w:rPr>
        <w:t xml:space="preserve">8.4.4 Implications and Characteristic Tensions</w:t>
      </w:r>
    </w:p>
    <w:p>
      <w:pPr>
        <w:spacing w:after="160" w:before="0"/>
        <w:jc w:val="both"/>
      </w:pPr>
      <w:r>
        <w:rPr>
          <w:rFonts w:ascii="Times New Roman" w:cs="Times New Roman" w:eastAsia="Times New Roman" w:hAnsi="Times New Roman"/>
          <w:sz w:val="24"/>
          <w:szCs w:val="24"/>
        </w:rPr>
        <w:t xml:space="preserve">Every position on the tree carries implications that follow directly from its ontological commitments, and faces characteristic tensions that arise when those commitments are pressed by cases that resist them. These tensions are not objections from outside the position but pressures generated internally by the logic of what the position claims. Identifying them is not the same as refuting the position; it is specifying what analytical work the position must do to remain consistent with itself.</w:t>
      </w:r>
    </w:p>
    <w:p>
      <w:pPr>
        <w:pStyle w:val="Heading2"/>
        <w:spacing w:after="140" w:before="220"/>
      </w:pPr>
      <w:r>
        <w:rPr>
          <w:rFonts w:ascii="Times New Roman" w:cs="Times New Roman" w:eastAsia="Times New Roman" w:hAnsi="Times New Roman"/>
          <w:b/>
          <w:bCs/>
          <w:sz w:val="26"/>
          <w:szCs w:val="26"/>
        </w:rPr>
        <w:t xml:space="preserve">8.4.4.1 The Transcendent Branch</w:t>
      </w:r>
    </w:p>
    <w:p>
      <w:pPr>
        <w:spacing w:after="160" w:before="0"/>
        <w:jc w:val="both"/>
      </w:pPr>
      <w:r>
        <w:rPr>
          <w:rFonts w:ascii="Times New Roman" w:cs="Times New Roman" w:eastAsia="Times New Roman" w:hAnsi="Times New Roman"/>
          <w:sz w:val="24"/>
          <w:szCs w:val="24"/>
        </w:rPr>
        <w:t xml:space="preserve">The entity node implies that the same kind of entity produces the same kind of causal contribution wherever it is present. The characteristic tension is that social science consistently finds the same entity-type producing different outcomes across configurations. Each attempt to explain this variation by specifying contextual modifiers extends the explanatory logic toward the configuration and away from the entity, and when the configurational specifications are doing more explanatory work than the entity itself, the intrinsic properties claim has become nominal rather than substantive. A nominal claim retains the vocabulary of intrinsic properties while the actual explanatory content is carried by something else: the account names the mechanism as the cause, but what it actually invokes to explain the outcome is the specific configuration of conditions surrounding it. The claim to intrinsic properties is then in name only, and the account has drifted toward the immanent branch without acknowledging the shift.</w:t>
      </w:r>
    </w:p>
    <w:p>
      <w:pPr>
        <w:spacing w:after="160" w:before="0"/>
        <w:jc w:val="both"/>
      </w:pPr>
      <w:r>
        <w:rPr>
          <w:rFonts w:ascii="Times New Roman" w:cs="Times New Roman" w:eastAsia="Times New Roman" w:hAnsi="Times New Roman"/>
          <w:sz w:val="24"/>
          <w:szCs w:val="24"/>
        </w:rPr>
        <w:t xml:space="preserve">The structural position node implies that causal force operates at the level of the arrangement of positions, independently of which entities fill them. The characteristic tension is that arrangements are reproduced, transformed, or contested through the conduct of entities that do not simply execute the functions assigned to them. Each concession to the specific capacities, strategies, or interpretations of those entities imports entity-level causal logic and places pressure on the claim that the arrangement itself is the causal bearer. The mode of existence of the arrangement, what kind of thing it is if it is not reducible to its elements, remains the most demanding open question at this node.</w:t>
      </w:r>
    </w:p>
    <w:p>
      <w:pPr>
        <w:spacing w:after="160" w:before="0"/>
        <w:jc w:val="both"/>
      </w:pPr>
      <w:r>
        <w:rPr>
          <w:rFonts w:ascii="Times New Roman" w:cs="Times New Roman" w:eastAsia="Times New Roman" w:hAnsi="Times New Roman"/>
          <w:sz w:val="24"/>
          <w:szCs w:val="24"/>
        </w:rPr>
        <w:t xml:space="preserve">The generative mechanism node implies a stable distinction between what the mechanism is at the level of the real and how it is expressed at the level of the actual. The characteristic tension is that the specification of what the mechanism is tends to be derived from the cases in which it is expressed, which means that the level of the real and the level of the actual are not as cleanly separable as the stratified ontology requires. If the mechanism's properties can only be specified by reference to the configurations at the level of the actual, the independence of the level of the real from the level of the actual has been quietly abandoned. The retroductive method must establish that the mechanism identified at the level of the real remains stable across configurations, not merely that some mechanism must exist somewhere beneath them.</w:t>
      </w:r>
    </w:p>
    <w:p>
      <w:pPr>
        <w:pStyle w:val="Heading2"/>
        <w:spacing w:after="140" w:before="220"/>
      </w:pPr>
      <w:r>
        <w:rPr>
          <w:rFonts w:ascii="Times New Roman" w:cs="Times New Roman" w:eastAsia="Times New Roman" w:hAnsi="Times New Roman"/>
          <w:b/>
          <w:bCs/>
          <w:sz w:val="26"/>
          <w:szCs w:val="26"/>
        </w:rPr>
        <w:t xml:space="preserve">8.4.4.2 The Immanent Branch</w:t>
      </w:r>
    </w:p>
    <w:p>
      <w:pPr>
        <w:spacing w:after="160" w:before="0"/>
        <w:jc w:val="both"/>
      </w:pPr>
      <w:r>
        <w:rPr>
          <w:rFonts w:ascii="Times New Roman" w:cs="Times New Roman" w:eastAsia="Times New Roman" w:hAnsi="Times New Roman"/>
          <w:sz w:val="24"/>
          <w:szCs w:val="24"/>
        </w:rPr>
        <w:t xml:space="preserve">The fully conjunctural node implies that no causal logic travels across cases without fresh argument. The characteristic tension is that theoretical vocabulary always carries some cross-contextual content: the concepts used to describe one configuration are applied to others, and that application imports implicit claims about what the two configurations share. Maintaining genuinely conjunctural commitments requires either a radical case-specificity that abandons theoretical vocabulary altogether, or a reflexive account of how concepts are deployed comparatively without the deployment generating structural availability claims. Neither is easily sustained in practice.</w:t>
      </w:r>
    </w:p>
    <w:p>
      <w:pPr>
        <w:spacing w:after="160" w:before="0"/>
        <w:jc w:val="both"/>
      </w:pPr>
      <w:r>
        <w:rPr>
          <w:rFonts w:ascii="Times New Roman" w:cs="Times New Roman" w:eastAsia="Times New Roman" w:hAnsi="Times New Roman"/>
          <w:sz w:val="24"/>
          <w:szCs w:val="24"/>
        </w:rPr>
        <w:t xml:space="preserve">The structural availability node implies that structural availability is genuinely immanent to a historically produced form rather than held prior to it. The characteristic tension comes from two directions. Toward the transcendent branch: the more robustly the structural availability is specified, the more it begins to function as a persistent causal logic that holds wherever the form is present, independently of the specific relational conditions of its reproduction in any given case. Toward the fully conjunctural node: the more the specification of the form is derived from cases, the less it can function as a stable basis for identifying structural availability across cases without circularity. The position that occupies this node most self-consciously is Knio's trans-immanent approach, which attempts to specify what is structurally available as a condition of possibility for conjunctural processes through the concept of calibration without treating that availability as prior to the configurations generating it. Whether calibration succeeds in holding the tension rather than dissolving it toward one side or the other is the most open analytical question in the current literature.</w:t>
      </w:r>
    </w:p>
    <w:p>
      <w:pPr>
        <w:pStyle w:val="Heading2"/>
        <w:spacing w:after="140" w:before="220"/>
      </w:pPr>
      <w:r>
        <w:rPr>
          <w:rFonts w:ascii="Times New Roman" w:cs="Times New Roman" w:eastAsia="Times New Roman" w:hAnsi="Times New Roman"/>
          <w:b/>
          <w:bCs/>
          <w:sz w:val="26"/>
          <w:szCs w:val="26"/>
        </w:rPr>
        <w:t xml:space="preserve">8.4.5 Reading the Findings Together: Between the Debates</w:t>
      </w:r>
    </w:p>
    <w:p>
      <w:pPr>
        <w:spacing w:after="160" w:before="0"/>
        <w:jc w:val="both"/>
      </w:pPr>
      <w:r>
        <w:rPr>
          <w:rFonts w:ascii="Times New Roman" w:cs="Times New Roman" w:eastAsia="Times New Roman" w:hAnsi="Times New Roman"/>
          <w:sz w:val="24"/>
          <w:szCs w:val="24"/>
        </w:rPr>
        <w:t xml:space="preserve">Each of the three preceding chapters produced a finding about where causal force resides: in individuals or collectives, in structures or agents, in material or ideational factors. The transcendence and immanence debate does not add a fourth finding alongside these; it asks two further questions about whichever causal bearers the earlier chapters identified. The first question is whether those causal bearers hold their properties intrinsically, prior to and independently of the specific configurations in which they operate, or relationally, constituted through those configurations. The second question is whether they exercise their causal force with persistent logic across configurations or conjuncturally within each specific case. Together these two questions generate four logical combinations, each of which reframes what the findings of the earlier chapters amount to for explanatory practice.</w:t>
      </w:r>
    </w:p>
    <w:p>
      <w:pPr>
        <w:spacing w:after="160" w:before="0"/>
        <w:jc w:val="both"/>
      </w:pPr>
      <w:r>
        <w:rPr>
          <w:rFonts w:ascii="Times New Roman" w:cs="Times New Roman" w:eastAsia="Times New Roman" w:hAnsi="Times New Roman"/>
          <w:sz w:val="24"/>
          <w:szCs w:val="24"/>
        </w:rPr>
        <w:t xml:space="preserve">The combination of intrinsic properties and persistent causal logic produces the clearest and most consistent explanatory architecture. Whichever causal bearer was identified in Chapters 5, 6, and 7, whether individual, collective, structural condition, or material force, holds its properties independently of any particular configuration and exercises the same causal logic wherever the relevant conditions are present. The analytical implication is a fully transcendent account: the causal bearer identified in the earlier debates is available for analysis prior to examining any particular case, and the findings about causal priority established in those debates hold universally wherever the relevant kind of thing is present. The explanatory burden is explaining differential outcomes across configurations without appealing to what is specific to each configuration, since the mechanism holds its properties independently of any such specificity.</w:t>
      </w:r>
    </w:p>
    <w:p>
      <w:pPr>
        <w:spacing w:after="160" w:before="0"/>
        <w:jc w:val="both"/>
      </w:pPr>
      <w:r>
        <w:rPr>
          <w:rFonts w:ascii="Times New Roman" w:cs="Times New Roman" w:eastAsia="Times New Roman" w:hAnsi="Times New Roman"/>
          <w:sz w:val="24"/>
          <w:szCs w:val="24"/>
        </w:rPr>
        <w:t xml:space="preserve">The combination of intrinsic properties and conjunctural causality holds that causal bearers carry their properties independently but that what they produce in any given case depends on what else is assembled alongside them. For the individuals and groups finding, this means that whichever entities were given causal priority hold their properties across configurations, but their causal effects in any given case depend on the specific configuration of other entities and conditions assembled with them. For the structure and agency finding, it means that structural conditions or agential capacities hold their properties independently of any particular configuration, but their interaction in any given case is conjuncturally determined: the same structural arrangement, combined with a different configuration of agential capacities and interpretations, produces different outcomes. This is the combination CR occupies when it insists that mechanisms at the level of the real hold intrinsic properties while their expressions at the level of the actual are always conjuncturally modified through interaction with other mechanisms in open systems.</w:t>
      </w:r>
    </w:p>
    <w:p>
      <w:pPr>
        <w:spacing w:after="160" w:before="0"/>
        <w:jc w:val="both"/>
      </w:pPr>
      <w:r>
        <w:rPr>
          <w:rFonts w:ascii="Times New Roman" w:cs="Times New Roman" w:eastAsia="Times New Roman" w:hAnsi="Times New Roman"/>
          <w:sz w:val="24"/>
          <w:szCs w:val="24"/>
        </w:rPr>
        <w:t xml:space="preserve">The combination of relational properties and persistent causal logic is the most tension-ridden of the four. Whichever causal bearer was identified in the earlier debates has its properties constituted through the specific relational configurations in which it is embedded rather than held prior to them, yet certain configurations of relations exercise a causal logic that recurs wherever that kind of configuration is reproduced. The tension is immediate: if properties are relational, what grounds the claim that the causal logic of any relational configuration persists across different cases? The answer the structural availability node provides is that the logic recurs because a historically produced form is reproduced, not because any mechanism holds properties independently. The characteristic tension identified at the structural availability node applies directly to every combination of findings from earlier debates that arrives here: whether the causal bearer was an individual, a structural condition, or a material force, finding relational properties and recurring logic in this chapter requires specifying what the historically produced form consists of and how its reproduction is secured.</w:t>
      </w:r>
    </w:p>
    <w:p>
      <w:pPr>
        <w:spacing w:after="160" w:before="0"/>
        <w:jc w:val="both"/>
      </w:pPr>
      <w:r>
        <w:rPr>
          <w:rFonts w:ascii="Times New Roman" w:cs="Times New Roman" w:eastAsia="Times New Roman" w:hAnsi="Times New Roman"/>
          <w:sz w:val="24"/>
          <w:szCs w:val="24"/>
        </w:rPr>
        <w:t xml:space="preserve">The combination of relational properties and fully conjunctural causality is the most consistent immanent position. Whichever causal bearer was identified in the earlier debates has its properties constituted through the specific relational configuration of each case, and what it produces in any given case is a property of that specific conjunction of conditions. No finding about causal logic transfers from one case to another without fresh argument. For the individuals and groups finding, this means that what any individual or collective is, and what causal force it exercises, is constituted through the specific relational configuration assembled in this case. For the structure and agency finding, it means that what structural conditions are and what they do in any given case is constituted through the specific practice through which they are reproduced in that case, so that arrangements not currently being reproduced by any living actor exercise no independent causal force. For the material and ideational finding, it means that what counts as a material constraint or an ideational force, and what causal logic either exercises, depends entirely on the specific relational configuration assembled in this case.</w:t>
      </w:r>
    </w:p>
    <w:p>
      <w:pPr>
        <w:spacing w:after="160" w:before="0"/>
        <w:jc w:val="both"/>
      </w:pPr>
      <w:r>
        <w:rPr>
          <w:rFonts w:ascii="Times New Roman" w:cs="Times New Roman" w:eastAsia="Times New Roman" w:hAnsi="Times New Roman"/>
          <w:sz w:val="24"/>
          <w:szCs w:val="24"/>
        </w:rPr>
        <w:t xml:space="preserve">The structure and agency connection is where the root question of this chapter most directly reframes what the preceding debate established. Chapter 6 asked whether structural conditions or agential conduct carries explanatory priority, and how the two interact. The transcendence and immanence debate now asks whether whichever of those was given priority holds its properties prior to and independently of the agential conduct through which it is reproduced and transformed. A finding of structural priority combined with intrinsic properties means that structural conditions exercise real causal force that is not constituted through the conduct of any particular set of agents: the structure conditions the agent by virtue of what it is, independently of what agents are currently doing with it. A finding of structural priority combined with relational properties faces the most demanding analytical problem in the framework: structural conditions are causally prior to agential conduct within any given cycle, conditioning what agents can do, yet what those structural conditions are as causal factors is partly constituted through the agential conduct of prior cycles. The structure that conditions the present agent was itself produced through what prior agents did. Specifying how that historical constitution of structural properties grounds any claim about their current causal force, without treating historically produced properties as if they were held independently of the history that produced them, is where this chapter's root question does its most productive analytical work on the findings of the preceding debates.</w:t>
      </w:r>
    </w:p>
    <w:p>
      <w:pPr>
        <w:pStyle w:val="Heading2"/>
        <w:spacing w:after="160" w:before="280"/>
      </w:pPr>
      <w:r>
        <w:t>8.5 Positions on the Tree</w:t>
      </w:r>
    </w:p>
    <w:p>
      <w:pPr>
        <w:spacing w:after="160" w:before="0"/>
        <w:jc w:val="both"/>
      </w:pPr>
      <w:r>
        <w:rPr>
          <w:rFonts w:ascii="Times New Roman" w:cs="Times New Roman" w:eastAsia="Times New Roman" w:hAnsi="Times New Roman"/>
          <w:sz w:val="24"/>
          <w:szCs w:val="24"/>
        </w:rPr>
        <w:t xml:space="preserve">Seven positions are examined across the five nodes. They have been selected to make each node's commitments and explanatory burdens concrete, and to show the most consequential arguments between adjacent positions, rather than to survey the literature comprehensively. Several appear in earlier chapters from different analytical angles; the angle here is specifically the root question and the second question that follows from each branch.</w:t>
      </w:r>
    </w:p>
    <w:p>
      <w:pPr>
        <w:pStyle w:val="Heading3"/>
        <w:spacing w:after="140" w:before="220"/>
      </w:pPr>
      <w:r>
        <w:t>8.5.1 Entity Node: Parsons’s Structural Functionalism</w:t>
      </w:r>
    </w:p>
    <w:p>
      <w:pPr>
        <w:spacing w:after="160" w:before="0"/>
        <w:jc w:val="both"/>
      </w:pPr>
      <w:r>
        <w:rPr>
          <w:rFonts w:ascii="Times New Roman" w:cs="Times New Roman" w:eastAsia="Times New Roman" w:hAnsi="Times New Roman"/>
          <w:sz w:val="24"/>
          <w:szCs w:val="24"/>
        </w:rPr>
        <w:t xml:space="preserve">Talcott Parsons's structural functionalism is the most systematic expression of the entity node in twentieth-century sociology. The position holds that social systems possess universal functional requirements captured by the AGIL scheme: adaptation, goal-attainment, integration, and latency. Every social system, regardless of its specific historical and cultural configuration, must solve these four functional problems if it is to persist, and the institutions that solve them share intrinsic properties that can be analysed across all social systems (Parsons, 1951). The properties of social institutions are derived from the universal functional requirements that the institutions serve, not from the specific configurations in which those institutions happen to be embedded. The mechanism is specifiable prior to examining any particular case.</w:t>
      </w:r>
    </w:p>
    <w:p>
      <w:pPr>
        <w:spacing w:after="160" w:before="0"/>
        <w:jc w:val="both"/>
      </w:pPr>
      <w:r>
        <w:rPr>
          <w:rFonts w:ascii="Times New Roman" w:cs="Times New Roman" w:eastAsia="Times New Roman" w:hAnsi="Times New Roman"/>
          <w:sz w:val="24"/>
          <w:szCs w:val="24"/>
        </w:rPr>
        <w:t xml:space="preserve">On the first diagnostic question, the analytical movement runs from the functional requirements to the particular institution: the mechanism is identified, its properties are specified independently of any particular case, and the configuration is where those intrinsic properties are expressed. On the second question, the causal bearer is the social system as an entity with universal requirements, and the mechanism is identified by classifying what functional requirement the institution addresses.</w:t>
      </w:r>
    </w:p>
    <w:p>
      <w:pPr>
        <w:spacing w:after="160" w:before="0"/>
        <w:jc w:val="both"/>
      </w:pPr>
      <w:r>
        <w:rPr>
          <w:rFonts w:ascii="Times New Roman" w:cs="Times New Roman" w:eastAsia="Times New Roman" w:hAnsi="Times New Roman"/>
          <w:sz w:val="24"/>
          <w:szCs w:val="24"/>
        </w:rPr>
        <w:t xml:space="preserve">The characteristic tension identified in section 8.4 applies here with particular clarity. If the causal significance of an institution is determined entirely by its functional contribution to universal system requirements, the account must explain why the same functional requirement generates very different institutional solutions in different societies, and why societies with functionally equivalent institutions exhibit dramatically different developmental trajectories. The more the account specifies what makes particular institutions functionally equivalent across different settings, the more it invokes relational properties specific to each configuration, and the closer it moves to conceding that configurational features are doing the explanatory work.</w:t>
      </w:r>
    </w:p>
    <w:p>
      <w:pPr>
        <w:pStyle w:val="Heading3"/>
        <w:spacing w:after="140" w:before="220"/>
      </w:pPr>
      <w:r>
        <w:t>8.5.2 Structural Position Node: Althusser’s Structural Causality</w:t>
      </w:r>
    </w:p>
    <w:p>
      <w:pPr>
        <w:spacing w:after="160" w:before="0"/>
        <w:jc w:val="both"/>
      </w:pPr>
      <w:r>
        <w:rPr>
          <w:rFonts w:ascii="Times New Roman" w:cs="Times New Roman" w:eastAsia="Times New Roman" w:hAnsi="Times New Roman"/>
          <w:sz w:val="24"/>
          <w:szCs w:val="24"/>
        </w:rPr>
        <w:t xml:space="preserve">Louis Althusser's structural causality occupies the structural position node with a precision that entity-level and generative-mechanism accounts both resist. For Althusser, the structure is not a sum of its elements and is not reducible to any entity within it. The structure assigns elements their places and functions, and the causal force operates at the level of the arrangement of positions rather than at the level of any element. The whole is present in its effects: the structure is not a separate thing that acts on elements from outside but is expressed through the configuration of relations among positions (Althusser and Balibar, 1970). Yet those positions exist and hold their determining properties independently of which particular entities currently occupy them: the structure of the capitalist mode of production assigns the functions of capital, labour, and land independently of which particular capitalists, workers, and landowners fill those functions in any given period.</w:t>
      </w:r>
    </w:p>
    <w:p>
      <w:pPr>
        <w:spacing w:after="160" w:before="0"/>
        <w:jc w:val="both"/>
      </w:pPr>
      <w:r>
        <w:rPr>
          <w:rFonts w:ascii="Times New Roman" w:cs="Times New Roman" w:eastAsia="Times New Roman" w:hAnsi="Times New Roman"/>
          <w:sz w:val="24"/>
          <w:szCs w:val="24"/>
        </w:rPr>
        <w:t xml:space="preserve">On the first diagnostic question, the analytical movement runs from the structure of positions to the particular case: what any element is and what causal force it exerts is determined by its structural position, and that position is specifiable prior to examining any particular occupant. On the second question, the causal bearer is explicitly the structural arrangement of positions.</w:t>
      </w:r>
    </w:p>
    <w:p>
      <w:pPr>
        <w:spacing w:after="160" w:before="0"/>
        <w:jc w:val="both"/>
      </w:pPr>
      <w:r>
        <w:rPr>
          <w:rFonts w:ascii="Times New Roman" w:cs="Times New Roman" w:eastAsia="Times New Roman" w:hAnsi="Times New Roman"/>
          <w:sz w:val="24"/>
          <w:szCs w:val="24"/>
        </w:rPr>
        <w:t xml:space="preserve">The characteristic tension at this node concerns the mode of existence of the arrangement itself. If the structure holds its determining properties independently of its elements, it must have some mode of existence not reducible to those elements. Althusser's answer, that the structure is present in its effects, is the most serious attempt to specify this, but it remains contested precisely where it is needed most: what kind of thing is the structure if it is neither an entity nor reducible to a set of entities? CR's critique is that structural causality without a stratified ontology cannot answer this question, and that the answer requires positing a level of the real at which structural properties exist independently of any configuration of elements at the level of the actual.</w:t>
      </w:r>
    </w:p>
    <w:p>
      <w:pPr>
        <w:pStyle w:val="Heading3"/>
        <w:spacing w:after="140" w:before="220"/>
      </w:pPr>
      <w:r>
        <w:t>8.5.3 Generative Mechanism Node: Bhaskar’s Critical Realism</w:t>
      </w:r>
    </w:p>
    <w:p>
      <w:pPr>
        <w:spacing w:after="160" w:before="0"/>
        <w:jc w:val="both"/>
      </w:pPr>
      <w:r>
        <w:rPr>
          <w:rFonts w:ascii="Times New Roman" w:cs="Times New Roman" w:eastAsia="Times New Roman" w:hAnsi="Times New Roman"/>
          <w:sz w:val="24"/>
          <w:szCs w:val="24"/>
        </w:rPr>
        <w:t xml:space="preserve">Roy Bhaskar's CR occupies the generative mechanism node. It holds that the social world is stratified into the real, the actual, and the empirical. At the level of the real, mechanisms possess causal powers that belong to them by virtue of what they are. At the level of the actual, mechanisms interact in open systems and their actual effects depend on the specific combination of conditions present. At the level of the empirical, researchers observe the outcomes of those interactions (Bhaskar, 1975; Sayer, 2000). The move that distinguishes this node from the structural position node is stratification: mechanisms are not arrangements of observable positions but real structures at a deeper ontological level whose existence and intrinsic properties are inferred through retroduction rather than directly observed.</w:t>
      </w:r>
    </w:p>
    <w:p>
      <w:pPr>
        <w:spacing w:after="160" w:before="0"/>
        <w:jc w:val="both"/>
      </w:pPr>
      <w:r>
        <w:rPr>
          <w:rFonts w:ascii="Times New Roman" w:cs="Times New Roman" w:eastAsia="Times New Roman" w:hAnsi="Times New Roman"/>
          <w:sz w:val="24"/>
          <w:szCs w:val="24"/>
        </w:rPr>
        <w:t xml:space="preserve">On the first diagnostic question, the analytical movement is retroductive: from the observable patterns at the level of the actual backward to the mechanism that must exist at the level of the real to make those patterns possible. The mechanism is identified as holding its properties prior to any particular case. On the second question, the causal bearer is the generative mechanism at the level of the real, identified through retroduction.</w:t>
      </w:r>
    </w:p>
    <w:p>
      <w:pPr>
        <w:spacing w:after="160" w:before="0"/>
        <w:jc w:val="both"/>
      </w:pPr>
      <w:r>
        <w:rPr>
          <w:rFonts w:ascii="Times New Roman" w:cs="Times New Roman" w:eastAsia="Times New Roman" w:hAnsi="Times New Roman"/>
          <w:sz w:val="24"/>
          <w:szCs w:val="24"/>
        </w:rPr>
        <w:t xml:space="preserve">The characteristic tension at this node is sharpest at the boundary with the immanent structural availability node. When the same mechanism produces dramatically different outcomes in different configurations, CR explains this through open-system interaction: the specific configuration of conditions at the level of the actual modifies the mechanism's expression without modifying its intrinsic properties at the level of the real. The tension identified in section 8.4 applies directly: the account must be able to specify what the mechanism is at the level of the real in a way that remains stable across those varied expressions, rather than shifting as each new configuration is encountered. Archer's morphogenetic approach extends CR by specifying that the interaction between structural properties and agential conduct unfolds through a temporal sequence (Archer, 1995). This extension is consistent with the generative mechanism node: temporality enters at the level of the actual, while the mechanism holds its properties at the level of the real.</w:t>
      </w:r>
    </w:p>
    <w:p>
      <w:pPr>
        <w:pStyle w:val="Heading3"/>
        <w:spacing w:after="140" w:before="220"/>
      </w:pPr>
      <w:r>
        <w:t>8.5.4 Fully Conjunctural Node: Weber’s Conjunctural Analysis</w:t>
      </w:r>
    </w:p>
    <w:p>
      <w:pPr>
        <w:spacing w:after="160" w:before="0"/>
        <w:jc w:val="both"/>
      </w:pPr>
      <w:r>
        <w:rPr>
          <w:rFonts w:ascii="Times New Roman" w:cs="Times New Roman" w:eastAsia="Times New Roman" w:hAnsi="Times New Roman"/>
          <w:sz w:val="24"/>
          <w:szCs w:val="24"/>
        </w:rPr>
        <w:t xml:space="preserve">Max Weber's analysis of the Protestant ethic is the most influential example of the fully conjunctural node in classical social theory. The elective affinity between Calvinist theology and the spirit of capitalism was not a mechanism with intrinsic properties waiting to be expressed wherever Protestant theology and market activity coexist. It was a specific conjunctural convergence: the psychological consequences of the doctrine of predestination produced a particular form of anxiety that was addressed, in the specific cultural and economic configuration of seventeenth-century Calvinist communities, through systematic worldly activity interpreted as evidence of grace. The mechanism was not available in any configuration where Protestant theology or market activity existed; it emerged through this specific conjunction of conditions, and no persistent causal logic and no structural availability can be extracted from it without separate argument from each new case (Weber, 1904/2002).</w:t>
      </w:r>
    </w:p>
    <w:p>
      <w:pPr>
        <w:spacing w:after="160" w:before="0"/>
        <w:jc w:val="both"/>
      </w:pPr>
      <w:r>
        <w:rPr>
          <w:rFonts w:ascii="Times New Roman" w:cs="Times New Roman" w:eastAsia="Times New Roman" w:hAnsi="Times New Roman"/>
          <w:sz w:val="24"/>
          <w:szCs w:val="24"/>
        </w:rPr>
        <w:t xml:space="preserve">On the first diagnostic question, the analytical movement runs from the configuration outward: the specific relational arrangement is the primary analytical object, and the elective affinity is a finding about this configuration rather than the identification of a mechanism available elsewhere. On the second question, the answer is no: no structural availability claim is advanced.</w:t>
      </w:r>
    </w:p>
    <w:p>
      <w:pPr>
        <w:spacing w:after="160" w:before="0"/>
        <w:jc w:val="both"/>
      </w:pPr>
      <w:r>
        <w:rPr>
          <w:rFonts w:ascii="Times New Roman" w:cs="Times New Roman" w:eastAsia="Times New Roman" w:hAnsi="Times New Roman"/>
          <w:sz w:val="24"/>
          <w:szCs w:val="24"/>
        </w:rPr>
        <w:t xml:space="preserve">Weber's ideal type is sometimes read as a device for generalisation that moves his account toward the transcendent branch, but this misreads its function. The ideal type is a constructed model of a pure case that enables systematic comparison by specifying what would follow if the conjunctural logic held completely. It enables comparison without claiming that what is being compared are instances of the same independently available mechanism. It is a methodological tool for fully conjunctural analysis rather than evidence of transcendent ontological commitments. The characteristic tension identified in section 8.4, that comparative vocabulary imports structural availability claims, is most clearly managed in Weber's case through the ideal type, but managing it requires constant vigilance about what the ideal type is and is not claiming.</w:t>
      </w:r>
    </w:p>
    <w:p>
      <w:pPr>
        <w:pStyle w:val="Heading3"/>
        <w:spacing w:after="140" w:before="220"/>
      </w:pPr>
      <w:r>
        <w:t>8.5.5 Fully Conjunctural Node: Deleuze and Assemblage Theory</w:t>
      </w:r>
    </w:p>
    <w:p>
      <w:pPr>
        <w:spacing w:after="160" w:before="0"/>
        <w:jc w:val="both"/>
      </w:pPr>
      <w:r>
        <w:rPr>
          <w:rFonts w:ascii="Times New Roman" w:cs="Times New Roman" w:eastAsia="Times New Roman" w:hAnsi="Times New Roman"/>
          <w:sz w:val="24"/>
          <w:szCs w:val="24"/>
        </w:rPr>
        <w:t xml:space="preserve">Gilles Deleuze's philosophy, and the assemblage theory developed from it most systematically by DeLanda, presents an instructive case because what the framework states and what it does analytically diverge in a revealing way. In stated commitments, Deleuze occupies the fully conjunctural node: the plane of immanence is a field of forces and differences without any governing principle above or behind it, and causal power is always expressed through specific assemblages of heterogeneous elements rather than being carried into them from prior ontological levels (Deleuze and Guattari, 1987). Properties are always properties of this assemblage constituted through this specific conjunction; there are no intrinsic properties available prior to any configuration.</w:t>
      </w:r>
    </w:p>
    <w:p>
      <w:pPr>
        <w:spacing w:after="160" w:before="0"/>
        <w:jc w:val="both"/>
      </w:pPr>
      <w:r>
        <w:rPr>
          <w:rFonts w:ascii="Times New Roman" w:cs="Times New Roman" w:eastAsia="Times New Roman" w:hAnsi="Times New Roman"/>
          <w:sz w:val="24"/>
          <w:szCs w:val="24"/>
        </w:rPr>
        <w:t xml:space="preserve">What the framework actually does analytically slides toward the structural availability node. The concepts developed, deterritorialisation and reterritorialisation, the virtual and the actual, lines of flight, are designed to travel across different empirical domains and function as cross-contextual analytical tools. This is the kind of analytical work that only structural availability or intrinsic properties can underwrite. When DeLanda operationalises assemblage theory for social science, he identifies mechanisms of territorialisation and coding that recur across different assemblages and generate persistent tendencies (DeLanda, 2006). The virtual is the concept where this tension is sharpest: Deleuze insists it is immanent to the actual, not a separate transcendent realm, yet the virtual must condition or enable actualisations in ways that hold across different expressions, or it adds nothing explanatory. If it holds across actualisations without being reducible to any of them, it is doing the same analytical work as the level of the real in CR or the calibration concept in Knio, in a vocabulary designed to foreclose that comparison.</w:t>
      </w:r>
    </w:p>
    <w:p>
      <w:pPr>
        <w:pStyle w:val="Heading3"/>
        <w:spacing w:after="140" w:before="220"/>
      </w:pPr>
      <w:r>
        <w:t>8.5.6 Structural Availability Node: Gramsci’s Hegemony</w:t>
      </w:r>
    </w:p>
    <w:p>
      <w:pPr>
        <w:spacing w:after="160" w:before="0"/>
        <w:jc w:val="both"/>
      </w:pPr>
      <w:r>
        <w:rPr>
          <w:rFonts w:ascii="Times New Roman" w:cs="Times New Roman" w:eastAsia="Times New Roman" w:hAnsi="Times New Roman"/>
          <w:sz w:val="24"/>
          <w:szCs w:val="24"/>
        </w:rPr>
        <w:t xml:space="preserve">Antonio Gramsci's concept of hegemony occupies the structural availability node with an internal tension that makes the characteristic pressure identified in section 8.4 most visible. Hegemony is constituted through the specific configuration of alliances, consent mechanisms, and coercive capacities that constitute a particular historical and national formation (Gramsci, 1971). No dominant bloc holds hegemony as an intrinsic property; it is a relational property constituted through the specific configuration. This places the first diagnostic question on the immanent branch. Yet Gramsci treats the logic of hegemony as identifying structural availability wherever modern political domination takes the hegemonic form: the compulsion to secure consent, the vulnerability to organic crisis, the structural opening for counter-hegemonic projects.</w:t>
      </w:r>
    </w:p>
    <w:p>
      <w:pPr>
        <w:spacing w:after="160" w:before="0"/>
        <w:jc w:val="both"/>
      </w:pPr>
      <w:r>
        <w:rPr>
          <w:rFonts w:ascii="Times New Roman" w:cs="Times New Roman" w:eastAsia="Times New Roman" w:hAnsi="Times New Roman"/>
          <w:sz w:val="24"/>
          <w:szCs w:val="24"/>
        </w:rPr>
        <w:t xml:space="preserve">Gramsci maintains that the hegemonic form is itself a historically produced arrangement specific to modern capitalist societies, and that the structural availability depends on the reproduction of that form. When that claim is maintained consistently, the structural availability remains genuinely immanent: it holds wherever the historically produced hegemonic form is reproduced, not because any logic holds independently of that reproduction. Gramsci's analytical practice in the Prison Notebooks, particularly the attention to the Italian Southern Question and the distinction between hegemony in the East and West, demonstrates this immanent character. But the general theory of hegemony also describes the hegemonic logic in terms general enough to function as something available prior to examining any particular formation, which is where the pressure toward the transcendent structural position node arises. The interpretive dispute between those who read the hegemonic logic as a general structural feature and those who insist on its conjunctural character maps directly onto the characteristic tension at this node (Hall, 1986; Laclau &amp; Mouffe, 1985).</w:t>
      </w:r>
    </w:p>
    <w:p>
      <w:pPr>
        <w:pStyle w:val="Heading3"/>
        <w:spacing w:after="140" w:before="220"/>
      </w:pPr>
      <w:r>
        <w:t>8.5.7 Structural Availability Node: Knio’s Trans-Immanent Causality</w:t>
      </w:r>
    </w:p>
    <w:p>
      <w:pPr>
        <w:spacing w:after="160" w:before="0"/>
        <w:jc w:val="both"/>
      </w:pPr>
      <w:r>
        <w:rPr>
          <w:rFonts w:ascii="Times New Roman" w:cs="Times New Roman" w:eastAsia="Times New Roman" w:hAnsi="Times New Roman"/>
          <w:sz w:val="24"/>
          <w:szCs w:val="24"/>
        </w:rPr>
        <w:t xml:space="preserve">Karim Knio's application of Spinoza's immanent causality to Archer's morphogenetic approach occupies the structural availability node with the greatest philosophical precision about what that position requires (Knio, 2018). The account is termed trans-immanent to signal a specific ontological commitment: the account moves beyond the fully conjunctural position by identifying real structural properties that precede any given configuration, while remaining within strictly immanent ontological commitments by insisting that the causal force those properties exercise is expressed in and through configurations rather than held independently of them.</w:t>
      </w:r>
    </w:p>
    <w:p>
      <w:pPr>
        <w:spacing w:after="160" w:before="0"/>
        <w:jc w:val="both"/>
      </w:pPr>
      <w:r>
        <w:rPr>
          <w:rFonts w:ascii="Times New Roman" w:cs="Times New Roman" w:eastAsia="Times New Roman" w:hAnsi="Times New Roman"/>
          <w:sz w:val="24"/>
          <w:szCs w:val="24"/>
        </w:rPr>
        <w:t xml:space="preserve">The starting point for understanding Knio's position is the distinction between properties and causality as the chapter has developed it. Properties, on Knio's account, are real. Each morphogenetic cycle produces structural outcomes that become the inherited conditions of the next cycle: the dispositional capacities of structural positions and the dispositional capabilities of agents are real features of the situation that any new round of morphogenesis encounters. These properties exist prior to the expressions of any current cycle; they are the sedimented outcomes of prior immanent causal processes rather than properties held at a transcendent level of the real independent of any historical expression. On the first diagnostic question, Knio's analytical movement therefore does not run purely from the configuration outward in the fully conjunctural sense. The structural properties identified through calibration are partially specifiable prior to examining how any particular configuration unfolds: what capacities and capabilities are in play can be established before the conjunctural interaction of any given cycle is reconstructed. This is what the concept of calibration names.</w:t>
      </w:r>
    </w:p>
    <w:p>
      <w:pPr>
        <w:spacing w:after="160" w:before="0"/>
        <w:jc w:val="both"/>
      </w:pPr>
      <w:r>
        <w:rPr>
          <w:rFonts w:ascii="Times New Roman" w:cs="Times New Roman" w:eastAsia="Times New Roman" w:hAnsi="Times New Roman"/>
          <w:sz w:val="24"/>
          <w:szCs w:val="24"/>
        </w:rPr>
        <w:t xml:space="preserve">Calibration identifies the relatively stable dispositional capacities at the structural level and the dispositional capabilities at the agential level whose ongoing interaction constitutes the starting conditions for any morphogenetic cycle (Knio, 2023). These are real properties of the social situation; they are not simply tendencies of the current configuration. What calibration establishes is a structural horizon that conditions what configurations can assemble in the next cycle, without determining what they will produce. This is the trans-immanent dimension of the account: the properties transcend any particular expression in the sense that they are real and prior to it, while remaining immanent in the sense that they are themselves the products of prior immanent causal processes rather than of any independent ontological level.</w:t>
      </w:r>
    </w:p>
    <w:p>
      <w:pPr>
        <w:spacing w:after="160" w:before="0"/>
        <w:jc w:val="both"/>
      </w:pPr>
      <w:r>
        <w:rPr>
          <w:rFonts w:ascii="Times New Roman" w:cs="Times New Roman" w:eastAsia="Times New Roman" w:hAnsi="Times New Roman"/>
          <w:sz w:val="24"/>
          <w:szCs w:val="24"/>
        </w:rPr>
        <w:t xml:space="preserve">The causality, however, is fully immanent. Where CR holds that mechanisms at the level of the real exercise their causal powers independently of the configurations at the level of the actual, Spinozian immanent causality insists that causal force is expressed in and through configurations rather than operating on them from outside. The properties that calibration identifies, real as they are, do not determine what the next cycle produces. Their causal significance depends on how they interact with what else is assembled in that specific conjuncture: the specific capabilities agents bring, the specific conditions that activate or constrain structural capacities, and the specific combinations that no prior analysis could have predicted. The outcomes of any given morphogenetic cycle are therefore conjunctural even though the properties that enter that cycle are real and historically produced. Properties exist and shape possibilities; causality is immanent to the specific configuration through which those properties are expressed.</w:t>
      </w:r>
    </w:p>
    <w:p>
      <w:pPr>
        <w:spacing w:after="160" w:before="0"/>
        <w:jc w:val="both"/>
      </w:pPr>
      <w:r>
        <w:rPr>
          <w:rFonts w:ascii="Times New Roman" w:cs="Times New Roman" w:eastAsia="Times New Roman" w:hAnsi="Times New Roman"/>
          <w:sz w:val="24"/>
          <w:szCs w:val="24"/>
        </w:rPr>
        <w:t xml:space="preserve">The distinction between Knio and CR is therefore more precise than the branching structure alone conveys. Both accounts identify something that conditions particular expressions without being reducible to any of them. But for CR, the mechanism holds its intrinsic properties at the level of the real independently of whether and how it is expressed at the level of the actual: the properties are available prior to any configuration because they exist at a separate ontological stratum. For Knio, the properties identified by calibration are real and prior to any given cycle's expression, but they are themselves the historically produced outcomes of prior immanent causal processes, not properties held at a level of the real independent of any expression. The independence from the current cycle does not imply independence from all cycles: it is the temporal independence of a historically sedimented product from the cycle that inherits it, not the ontological independence of a mechanism from any expression whatsoever. Kim (1987) identifies the most demanding open question this creates: the general power expressed through configurations may be real and operative without being fully specifiable by any analysis of particular configurations, because there is no sufficient reason accessible to finite analysis for why this conjunction rather than another was assembled. Calibration names something genuinely structural and real without thereby naming something whose full causal significance can be read off in advance of the conjunctural process through which it is expressed.</w:t>
      </w:r>
    </w:p>
    <w:p>
      <w:pPr>
        <w:pStyle w:val="Heading2"/>
        <w:spacing w:after="160" w:before="280"/>
      </w:pPr>
      <w:r>
        <w:t>8.6 Conclusion</w:t>
      </w:r>
    </w:p>
    <w:p>
      <w:pPr>
        <w:spacing w:after="160" w:before="0"/>
        <w:jc w:val="both"/>
      </w:pPr>
      <w:r>
        <w:rPr>
          <w:rFonts w:ascii="Times New Roman" w:cs="Times New Roman" w:eastAsia="Times New Roman" w:hAnsi="Times New Roman"/>
          <w:sz w:val="24"/>
          <w:szCs w:val="24"/>
        </w:rPr>
        <w:t xml:space="preserve">The transcendence and immanence debate asks one root question: does the mechanism that produces social effects hold its properties prior to and independently of its particular expressions? The transcendent answer and the immanent answer are not positions on a continuum but commitments that generate different subsequent questions, different explanatory burdens, and different characteristic forms of internal tension.</w:t>
      </w:r>
    </w:p>
    <w:p>
      <w:pPr>
        <w:spacing w:after="160" w:before="0"/>
        <w:jc w:val="both"/>
      </w:pPr>
      <w:r>
        <w:rPr>
          <w:rFonts w:ascii="Times New Roman" w:cs="Times New Roman" w:eastAsia="Times New Roman" w:hAnsi="Times New Roman"/>
          <w:sz w:val="24"/>
          <w:szCs w:val="24"/>
        </w:rPr>
        <w:t xml:space="preserve">On the transcendent branch, three nodes make different claims about what kind of thing the independent mechanism is. The entity node locates intrinsic properties in what kind of entity is present; its characteristic tension is explaining differential outcomes without conceding that configurational features constitute the mechanism. The structural position node locates properties in positions within arrangements that hold prior to their occupants; its characteristic tension is specifying the mode of existence of the arrangement itself. The generative mechanism node locates causal powers at a deeper stratum identified through retroduction; its characteristic tension is maintaining a stable specification of what the mechanism is at the level of the real across varied expressions at the level of the actual.</w:t>
      </w:r>
    </w:p>
    <w:p>
      <w:pPr>
        <w:spacing w:after="160" w:before="0"/>
        <w:jc w:val="both"/>
      </w:pPr>
      <w:r>
        <w:rPr>
          <w:rFonts w:ascii="Times New Roman" w:cs="Times New Roman" w:eastAsia="Times New Roman" w:hAnsi="Times New Roman"/>
          <w:sz w:val="24"/>
          <w:szCs w:val="24"/>
        </w:rPr>
        <w:t xml:space="preserve">On the immanent branch, two nodes differ in whether structural availability can be identified without reintroducing independence. The fully conjunctural node refuses any such identification; its characteristic tension is that comparative vocabulary imports structural availability claims without acknowledging them. The structural availability node identifies availability immanent to historically produced forms; its characteristic tension is pressure from both the transcendent direction, where the availability claim begins to function as a persistent causal logic, and the immanent direction, where the specification of the form reintroduces independence at a different level.</w:t>
      </w:r>
    </w:p>
    <w:p>
      <w:pPr>
        <w:spacing w:after="160" w:before="0"/>
        <w:jc w:val="both"/>
      </w:pPr>
      <w:r>
        <w:rPr>
          <w:rFonts w:ascii="Times New Roman" w:cs="Times New Roman" w:eastAsia="Times New Roman" w:hAnsi="Times New Roman"/>
          <w:sz w:val="24"/>
          <w:szCs w:val="24"/>
        </w:rPr>
        <w:t xml:space="preserve">What separates all seven positions examined in section 8.5 is ultimately the answer to the root question, and what separates positions within each branch is the answer to the second question that follows from it. The characteristic tensions identified in section 8.4 are not refutations of the positions that face them; they are the analytical problems those positions must do work to address. An account that has not identified which tension applies to its position has not fully clarified what it is committed to. An account that has identified the tension but has no resources for addressing it has not yet established that the position is viable. The debate remains live precisely because no position has resolved its characteristic tension to the satisfaction of all parties, and the arguments between adjacent nodes are arguments about whether the neighbouring position has found a better way to manage the tension or has simply deferred it under a different name.</w:t>
      </w:r>
    </w:p>
    <w:p>
      <w:pPr>
        <w:spacing w:after="160" w:before="0"/>
        <w:jc w:val="both"/>
      </w:pPr>
      <w:r>
        <w:rPr>
          <w:rFonts w:ascii="Times New Roman" w:cs="Times New Roman" w:eastAsia="Times New Roman" w:hAnsi="Times New Roman"/>
          <w:sz w:val="24"/>
          <w:szCs w:val="24"/>
        </w:rPr>
        <w:t xml:space="preserve">The debate cannot answer from its own resources what kinds of evidence, analytical procedure, and research design are adequate to each node. An account at the entity node requires methods capable of identifying whether the same entity-type produces similar effects across configurations. An account at the fully conjunctural node requires methods capable of reconstructing specific relational configurations in sufficient depth to specify what was causally operative within them. Accounts at the structural availability node require research designs that specify what the historically produced form consists of and how its reproduction can fail, before asking what structural availability the form generates. These are the questions Part III addresses.</w:t>
      </w:r>
    </w:p>
    <w:p>
      <w:pPr>
        <w:pStyle w:val="Heading1"/>
        <w:spacing w:after="160" w:before="280"/>
      </w:pPr>
      <w:r>
        <w:rPr>
          <w:rFonts w:ascii="Times New Roman" w:cs="Times New Roman" w:eastAsia="Times New Roman" w:hAnsi="Times New Roman"/>
          <w:b/>
          <w:bCs/>
          <w:sz w:val="28"/>
          <w:szCs w:val="28"/>
        </w:rPr>
        <w:t xml:space="preserve">References</w:t>
      </w:r>
    </w:p>
    <w:p>
      <w:pPr>
        <w:spacing w:after="120"/>
        <w:ind w:left="720" w:hanging="720"/>
      </w:pPr>
      <w:r>
        <w:rPr>
          <w:rFonts w:ascii="Times New Roman" w:cs="Times New Roman" w:eastAsia="Times New Roman" w:hAnsi="Times New Roman"/>
          <w:sz w:val="22"/>
          <w:szCs w:val="22"/>
        </w:rPr>
        <w:t xml:space="preserve">Althusser, L., and Balibar, E. (1970). Reading Capital (B. Brewster, Trans.). New Left Books.</w:t>
      </w:r>
    </w:p>
    <w:p>
      <w:pPr>
        <w:spacing w:after="120"/>
        <w:ind w:left="720" w:hanging="720"/>
      </w:pPr>
      <w:r>
        <w:rPr>
          <w:rFonts w:ascii="Times New Roman" w:cs="Times New Roman" w:eastAsia="Times New Roman" w:hAnsi="Times New Roman"/>
          <w:sz w:val="22"/>
          <w:szCs w:val="22"/>
        </w:rPr>
        <w:t xml:space="preserve">Archer, M. S. (1995). Realist social theory: The morphogenetic approach. Cambridge University Press.</w:t>
      </w:r>
    </w:p>
    <w:p>
      <w:pPr>
        <w:spacing w:after="120"/>
        <w:ind w:left="720" w:hanging="720"/>
      </w:pPr>
      <w:r>
        <w:rPr>
          <w:rFonts w:ascii="Times New Roman" w:cs="Times New Roman" w:eastAsia="Times New Roman" w:hAnsi="Times New Roman"/>
          <w:sz w:val="22"/>
          <w:szCs w:val="22"/>
        </w:rPr>
        <w:t xml:space="preserve">Aristotle. (1984). Metaphysics. In J. Barnes (Ed.), The complete works of Aristotle (Vol. 2). Princeton University Press.</w:t>
      </w:r>
    </w:p>
    <w:p>
      <w:pPr>
        <w:spacing w:after="120"/>
        <w:ind w:left="720" w:hanging="720"/>
      </w:pPr>
      <w:r>
        <w:rPr>
          <w:rFonts w:ascii="Times New Roman" w:cs="Times New Roman" w:eastAsia="Times New Roman" w:hAnsi="Times New Roman"/>
          <w:sz w:val="22"/>
          <w:szCs w:val="22"/>
        </w:rPr>
        <w:t xml:space="preserve">Bhaskar, R. (1975). A realist theory of science. Leeds Books.</w:t>
      </w:r>
    </w:p>
    <w:p>
      <w:pPr>
        <w:spacing w:after="120"/>
        <w:ind w:left="720" w:hanging="720"/>
      </w:pPr>
      <w:r>
        <w:rPr>
          <w:rFonts w:ascii="Times New Roman" w:cs="Times New Roman" w:eastAsia="Times New Roman" w:hAnsi="Times New Roman"/>
          <w:sz w:val="22"/>
          <w:szCs w:val="22"/>
        </w:rPr>
        <w:t xml:space="preserve">Bourdieu, P. (1990). The logic of practice (R. Nice, Trans.). Polity Press.</w:t>
      </w:r>
    </w:p>
    <w:p>
      <w:pPr>
        <w:spacing w:after="120"/>
        <w:ind w:left="720" w:hanging="720"/>
      </w:pPr>
      <w:r>
        <w:rPr>
          <w:rFonts w:ascii="Times New Roman" w:cs="Times New Roman" w:eastAsia="Times New Roman" w:hAnsi="Times New Roman"/>
          <w:sz w:val="22"/>
          <w:szCs w:val="22"/>
        </w:rPr>
        <w:t xml:space="preserve">DeLanda, M. (2006). A new philosophy of society: Assemblage theory and social complexity. Continuum.</w:t>
      </w:r>
    </w:p>
    <w:p>
      <w:pPr>
        <w:spacing w:after="120"/>
        <w:ind w:left="720" w:hanging="720"/>
      </w:pPr>
      <w:r>
        <w:rPr>
          <w:rFonts w:ascii="Times New Roman" w:cs="Times New Roman" w:eastAsia="Times New Roman" w:hAnsi="Times New Roman"/>
          <w:sz w:val="22"/>
          <w:szCs w:val="22"/>
        </w:rPr>
        <w:t xml:space="preserve">Deleuze, G., and Guattari, F. (1987). A thousand plateaus: Capitalism and schizophrenia (B. Massumi, Trans.). University of Minnesota Press.</w:t>
      </w:r>
    </w:p>
    <w:p>
      <w:pPr>
        <w:spacing w:after="120"/>
        <w:ind w:left="720" w:hanging="720"/>
      </w:pPr>
      <w:r>
        <w:rPr>
          <w:rFonts w:ascii="Times New Roman" w:cs="Times New Roman" w:eastAsia="Times New Roman" w:hAnsi="Times New Roman"/>
          <w:sz w:val="22"/>
          <w:szCs w:val="22"/>
        </w:rPr>
        <w:t xml:space="preserve">Durkheim, E. (1895/1982). The rules of sociological method (W. D. Halls, Trans.). Free Press.</w:t>
      </w:r>
    </w:p>
    <w:p>
      <w:pPr>
        <w:spacing w:after="120"/>
        <w:ind w:left="720" w:hanging="720"/>
      </w:pPr>
      <w:r>
        <w:rPr>
          <w:rFonts w:ascii="Times New Roman" w:cs="Times New Roman" w:eastAsia="Times New Roman" w:hAnsi="Times New Roman"/>
          <w:sz w:val="22"/>
          <w:szCs w:val="22"/>
        </w:rPr>
        <w:t xml:space="preserve">Gramsci, A. (1971). Selections from the prison notebooks (Q. Hoare and G. N. Smith, Eds. and Trans.). Lawrence and Wishart.</w:t>
      </w:r>
    </w:p>
    <w:p>
      <w:pPr>
        <w:spacing w:after="120"/>
        <w:ind w:left="720" w:hanging="720"/>
      </w:pPr>
      <w:r>
        <w:rPr>
          <w:rFonts w:ascii="Times New Roman" w:cs="Times New Roman" w:eastAsia="Times New Roman" w:hAnsi="Times New Roman"/>
          <w:sz w:val="22"/>
          <w:szCs w:val="22"/>
        </w:rPr>
        <w:t xml:space="preserve">Hall, S. (1986). Gramsci's relevance for the study of race and ethnicity. Journal of Communication Inquiry, 10(2), 5-27.</w:t>
      </w:r>
    </w:p>
    <w:p>
      <w:pPr>
        <w:spacing w:after="120"/>
        <w:ind w:left="720" w:hanging="720"/>
      </w:pPr>
      <w:r>
        <w:rPr>
          <w:rFonts w:ascii="Times New Roman" w:cs="Times New Roman" w:eastAsia="Times New Roman" w:hAnsi="Times New Roman"/>
          <w:sz w:val="22"/>
          <w:szCs w:val="22"/>
        </w:rPr>
        <w:t xml:space="preserve">Hegel, G. W. F. (1807/1977). Phenomenology of spirit (A. V. Miller, Trans.). Oxford University Press.</w:t>
      </w:r>
    </w:p>
    <w:p>
      <w:pPr>
        <w:spacing w:after="120"/>
        <w:ind w:left="720" w:hanging="720"/>
      </w:pPr>
      <w:r>
        <w:rPr>
          <w:rFonts w:ascii="Times New Roman" w:cs="Times New Roman" w:eastAsia="Times New Roman" w:hAnsi="Times New Roman"/>
          <w:sz w:val="22"/>
          <w:szCs w:val="22"/>
        </w:rPr>
        <w:t xml:space="preserve">Kant, I. (1781/1998). Critique of pure reason (P. Guyer and A. W. Wood, Trans.). Cambridge University Press.</w:t>
      </w:r>
    </w:p>
    <w:p>
      <w:pPr>
        <w:spacing w:after="120"/>
        <w:ind w:left="720" w:hanging="720"/>
      </w:pPr>
      <w:r>
        <w:rPr>
          <w:rFonts w:ascii="Times New Roman" w:cs="Times New Roman" w:eastAsia="Times New Roman" w:hAnsi="Times New Roman"/>
          <w:sz w:val="22"/>
          <w:szCs w:val="22"/>
        </w:rPr>
        <w:t xml:space="preserve">Kim, C.-T. (1987). Transcendence and immanence. Journal of the American Academy of Religion, 55(3), 537-549.</w:t>
      </w:r>
    </w:p>
    <w:p>
      <w:pPr>
        <w:spacing w:after="120"/>
        <w:ind w:left="720" w:hanging="720"/>
      </w:pPr>
      <w:r>
        <w:rPr>
          <w:rFonts w:ascii="Times New Roman" w:cs="Times New Roman" w:eastAsia="Times New Roman" w:hAnsi="Times New Roman"/>
          <w:sz w:val="22"/>
          <w:szCs w:val="22"/>
        </w:rPr>
        <w:t xml:space="preserve">Knio, K. (2018). The morphogenetic approach and immanent causality: A Spinozian perspective. Journal for the Theory of Social Behaviour, 48(4), 398-415.</w:t>
      </w:r>
    </w:p>
    <w:p>
      <w:pPr>
        <w:spacing w:after="120"/>
        <w:ind w:left="720" w:hanging="720"/>
      </w:pPr>
      <w:r>
        <w:rPr>
          <w:rFonts w:ascii="Times New Roman" w:cs="Times New Roman" w:eastAsia="Times New Roman" w:hAnsi="Times New Roman"/>
          <w:sz w:val="22"/>
          <w:szCs w:val="22"/>
        </w:rPr>
        <w:t xml:space="preserve">Knio, K. (2023). Complexity, trans-immanent systems and morphogenetic regulation: Towards a problematique of calibration. Journal of Critical Realism, 22(5), 790-812.</w:t>
      </w:r>
    </w:p>
    <w:p>
      <w:pPr>
        <w:spacing w:after="120"/>
        <w:ind w:left="720" w:hanging="720"/>
      </w:pPr>
      <w:r>
        <w:rPr>
          <w:rFonts w:ascii="Times New Roman" w:cs="Times New Roman" w:eastAsia="Times New Roman" w:hAnsi="Times New Roman"/>
          <w:sz w:val="22"/>
          <w:szCs w:val="22"/>
        </w:rPr>
        <w:t xml:space="preserve">Laclau, E., &amp; Mouffe, C. (1985). Hegemony and socialist strategy: Towards a radical democratic politics. Verso.</w:t>
      </w:r>
    </w:p>
    <w:p>
      <w:r>
        <w:t xml:space="preserve">Lévi-Strauss, C. (1963). Structural anthropology (C. Jacobson &amp; B. G. Schoepf, Trans.). Basic Books.</w:t>
      </w:r>
    </w:p>
    <w:p>
      <w:r>
        <w:t xml:space="preserve">Malinowski, B. (1944). A scientific theory of culture and other essays. University of North Carolina Press.</w:t>
      </w:r>
    </w:p>
    <w:p>
      <w:pPr>
        <w:spacing w:after="120"/>
        <w:ind w:left="720" w:hanging="720"/>
      </w:pPr>
      <w:r>
        <w:rPr>
          <w:rFonts w:ascii="Times New Roman" w:cs="Times New Roman" w:eastAsia="Times New Roman" w:hAnsi="Times New Roman"/>
          <w:sz w:val="22"/>
          <w:szCs w:val="22"/>
        </w:rPr>
        <w:t xml:space="preserve">Marx, K. (1867/1990). Capital: A critique of political economy (Vol. 1, B. Fowkes, Trans.). Penguin Books.</w:t>
      </w:r>
    </w:p>
    <w:p>
      <w:pPr>
        <w:spacing w:after="120"/>
        <w:ind w:left="720" w:hanging="720"/>
      </w:pPr>
      <w:r>
        <w:rPr>
          <w:rFonts w:ascii="Times New Roman" w:cs="Times New Roman" w:eastAsia="Times New Roman" w:hAnsi="Times New Roman"/>
          <w:sz w:val="22"/>
          <w:szCs w:val="22"/>
        </w:rPr>
        <w:t xml:space="preserve">Parsons, T. (1951). The social system. Free Press.</w:t>
      </w:r>
    </w:p>
    <w:p>
      <w:pPr>
        <w:spacing w:after="120"/>
        <w:ind w:left="720" w:hanging="720"/>
      </w:pPr>
      <w:r>
        <w:rPr>
          <w:rFonts w:ascii="Times New Roman" w:cs="Times New Roman" w:eastAsia="Times New Roman" w:hAnsi="Times New Roman"/>
          <w:sz w:val="22"/>
          <w:szCs w:val="22"/>
        </w:rPr>
        <w:t xml:space="preserve">Plato. (1997). Republic. In J. M. Cooper (Ed.), Plato: Complete works. Hackett.</w:t>
      </w:r>
    </w:p>
    <w:p>
      <w:r>
        <w:t xml:space="preserve">Radcliffe-Brown, A. R. (1952). Structure and function in primitive society. Free Press.</w:t>
      </w:r>
    </w:p>
    <w:p>
      <w:r>
        <w:t xml:space="preserve">Romer, P. M. (1986). Increasing returns and long-run growth. Journal of Political Economy, 94(5), 1002–1037.</w:t>
      </w:r>
    </w:p>
    <w:p>
      <w:pPr>
        <w:spacing w:after="120"/>
        <w:ind w:left="720" w:hanging="720"/>
      </w:pPr>
      <w:r>
        <w:rPr>
          <w:rFonts w:ascii="Times New Roman" w:cs="Times New Roman" w:eastAsia="Times New Roman" w:hAnsi="Times New Roman"/>
          <w:sz w:val="22"/>
          <w:szCs w:val="22"/>
        </w:rPr>
        <w:t xml:space="preserve">Sayer, A. (2000). Realism and social science. Sage.</w:t>
      </w:r>
    </w:p>
    <w:p>
      <w:r>
        <w:t xml:space="preserve">Solow, R. M. (1956). A contribution to the theory of economic growth. The Quarterly Journal of Economics, 70(1), 65–94.</w:t>
      </w:r>
    </w:p>
    <w:p>
      <w:pPr>
        <w:spacing w:after="120"/>
        <w:ind w:left="720" w:hanging="720"/>
      </w:pPr>
      <w:r>
        <w:rPr>
          <w:rFonts w:ascii="Times New Roman" w:cs="Times New Roman" w:eastAsia="Times New Roman" w:hAnsi="Times New Roman"/>
          <w:sz w:val="22"/>
          <w:szCs w:val="22"/>
        </w:rPr>
        <w:t xml:space="preserve">Spinoza, B. (1677/1985). Ethics. In E. Curley (Ed. and Trans.), The collected works of Spinoza (Vol. 1). Princeton University Press.</w:t>
      </w:r>
    </w:p>
    <w:p>
      <w:pPr>
        <w:spacing w:after="120"/>
        <w:ind w:left="720" w:hanging="720"/>
      </w:pPr>
      <w:r>
        <w:rPr>
          <w:rFonts w:ascii="Times New Roman" w:cs="Times New Roman" w:eastAsia="Times New Roman" w:hAnsi="Times New Roman"/>
          <w:sz w:val="22"/>
          <w:szCs w:val="22"/>
        </w:rPr>
        <w:t xml:space="preserve">Wallerstein, I. (1974). The modern world-system I: Capitalist agriculture and the origins of the European world-economy in the sixteenth century. Academic Press.</w:t>
      </w:r>
    </w:p>
    <w:p>
      <w:pPr>
        <w:spacing w:after="120"/>
        <w:ind w:left="720" w:hanging="720"/>
      </w:pPr>
      <w:r>
        <w:rPr>
          <w:rFonts w:ascii="Times New Roman" w:cs="Times New Roman" w:eastAsia="Times New Roman" w:hAnsi="Times New Roman"/>
          <w:sz w:val="22"/>
          <w:szCs w:val="22"/>
        </w:rPr>
        <w:t xml:space="preserve">Weber, M. (1904/2002). The Protestant ethic and the spirit of capitalism (P. Baehr and G. C. Wells, Trans.). Penguin Books.</w:t>
      </w:r>
    </w:p>
    <w:p>
      <w:pPr>
        <w:spacing w:after="120"/>
        <w:ind w:left="720" w:hanging="720"/>
      </w:pPr>
      <w:r>
        <w:rPr>
          <w:rFonts w:ascii="Times New Roman" w:cs="Times New Roman" w:eastAsia="Times New Roman" w:hAnsi="Times New Roman"/>
          <w:sz w:val="22"/>
          <w:szCs w:val="22"/>
        </w:rPr>
        <w:t xml:space="preserve">Wisnovsky, R. (2003). Towards a history of Avicenna's distinction between immanent and transcendent causes. In D. C. Reisman (Ed.), Before and after Avicenna (pp. 49-68). Brill.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default="1" w:styleId="Normal">
    <w:name w:val="Normal"/>
    <w:qFormat/>
    <w:pPr>
      <w:spacing w:after="206" w:line="267" w:lineRule="auto"/>
      <w:ind w:left="10" w:hanging="10"/>
    </w:pPr>
    <w:rPr>
      <w:rFonts w:ascii="Times New Roman" w:eastAsia="Times New Roman" w:hAnsi="Times New Roman" w:cs="Times New Roman"/>
      <w:color w:val="000000"/>
      <w:lang w:val="nl-NL" w:eastAsia="nl-NL" w:bidi="nl-NL"/>
    </w:rPr>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Theme1"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2026-05-10T12:46:14.439Z</dcterms:created>
  <dcterms:modified xsi:type="dcterms:W3CDTF">2026-05-10T12:46:14.457Z</dcterms:modified>
</cp:coreProperties>
</file>

<file path=docProps/custom.xml><?xml version="1.0" encoding="utf-8"?>
<Properties xmlns="http://schemas.openxmlformats.org/officeDocument/2006/custom-properties" xmlns:vt="http://schemas.openxmlformats.org/officeDocument/2006/docPropsVTypes"/>
</file>