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pPr>
        <w:pStyle w:val="Heading1"/>
      </w:pPr>
      <w:r>
        <w:t>Chapter 9: Time, Space, and Reduction in Social Research</w:t>
      </w:r>
    </w:p>
    <w:p w14:paraId="0DAAF04A" w14:textId="08A69703" w:rsidR="001A52FD" w:rsidRPr="00585E0C" w:rsidRDefault="00C163C3" w:rsidP="00EE6EED">
      <w:pPr>
        <w:pStyle w:val="Heading2"/>
      </w:pPr>
      <w:r>
        <w:t>9.1 Extending Ontological Foundations to Time, Space, and Reduction</w:t>
      </w:r>
    </w:p>
    <w:p>
      <w:pPr/>
      <w:r>
        <w:t>The preceding chapters established the conceptual architecture that frames ontological analysis in social research. Part II worked through the four social ontological debates, establishing how commitments about individuals and groups, structure and agency, material and ideational forces, and transcendence and immanence combine into a coherent ontological position. The present chapter extends this architecture to three dimensions that cut across all four debates and bear directly on the adequacy of research design: time, space, and reduction.</w:t>
      </w:r>
    </w:p>
    <w:p>
      <w:pPr/>
      <w:r>
        <w:t>Time and space are not merely contextual features of social phenomena. They are dimensions of social reality in which mechanisms operate, persist, and transform. How a researcher understands the ontology of time bears directly on whether they treat structures as enduring or perduring, on whether synchronic or diachronic methods are adequate to the phenomena they are investigating, and on how they use Bhaskar's four modes of integrating temporal analysis into a coherent account. How a researcher understands the ontology of space bears on the spatial extent of the investigation, on what adequate comparison requires, and on how mechanisms that operate across different spatial scales are to be analysed together.</w:t>
      </w:r>
    </w:p>
    <w:p>
      <w:pPr/>
      <w:r>
        <w:t>Reduction is new to this chapter in the sense that it receives explicit treatment here rather than being presupposed in the preceding discussion. Reduction is the analytical operation through which the researcher specifies what aspects of a complex social phenomenon are within the scope of the investigation and what can be temporarily set aside. Adequate reduction requires working through the dimensions of time and space established in this chapter alongside the ontological commitments established in Chapters 1 through 8, because what it is adequate to reduce depends on what the investigation must be capable of reaching.</w:t>
      </w:r>
    </w:p>
    <w:p w14:paraId="7D7C4FE9" w14:textId="5829C13D" w:rsidR="001A52FD" w:rsidRPr="00585E0C" w:rsidRDefault="00C163C3" w:rsidP="00C80A18">
      <w:r>
        <w:t>This chapter examines three dimensions of social research that cut across the four debates: time, space, and reduction. Building on Chapters 1 and 2, the analysis demonstrates how ontological commitments about time and space determine what counts as adequate explanation within social research. Time and space are more than the context of social processes; they are ontological dimensions that fundamentally shape what exists in social reality. We begin by examining different ways of understanding time, asking whether only the present is real or whether past and future are equally part of reality, and how these positions lead to different views of how things persist through time. We then turn to space, contrasting the idea of space as a fixed container with the view that space is produced through social relations, and showing how this affects whether spatial arrangements are treated as constraints or as outcomes of social processes. Next, we introduce synchronic and diachronic approaches as tools for analysing the present and for tracing development over time, and we examine how Bhaskar’s account of the ‘presence of the past’ integrates structural persistence with present agency. The chapter closes with the operation of adequate reduction: the principled specification of what a bounded investigation includes and what it sets aside.</w:t>
      </w:r>
    </w:p>
    <w:p w14:paraId="69E8C59B" w14:textId="77777777" w:rsidR="00FE464D" w:rsidRDefault="00FE464D">
      <w:pPr>
        <w:rPr>
          <w:b/>
          <w:sz w:val="28"/>
        </w:rPr>
      </w:pPr>
      <w:r>
        <w:br w:type="page"/>
      </w:r>
    </w:p>
    <w:p w14:paraId="55DF83C5" w14:textId="14871A66" w:rsidR="001A52FD" w:rsidRPr="00585E0C" w:rsidRDefault="00C163C3" w:rsidP="00DD630B">
      <w:pPr>
        <w:pStyle w:val="Heading2"/>
      </w:pPr>
      <w:r>
        <w:t>9.2 The Ontology of Time</w:t>
      </w:r>
    </w:p>
    <w:p w14:paraId="73E08225" w14:textId="32CFF330" w:rsidR="001A52FD" w:rsidRPr="00585E0C" w:rsidRDefault="00C163C3" w:rsidP="00616D64">
      <w:pPr>
        <w:pStyle w:val="Heading3"/>
      </w:pPr>
      <w:r>
        <w:t>9.2.1 Presentism versus Eternalism</w:t>
      </w:r>
    </w:p>
    <w:p w14:paraId="5A7054DC" w14:textId="6EB1416A" w:rsidR="00C64E03" w:rsidRPr="00DD630B" w:rsidRDefault="00C163C3" w:rsidP="00616D64">
      <w:pPr>
        <w:pStyle w:val="StandardWeb"/>
        <w:spacing w:line="276" w:lineRule="auto"/>
        <w:rPr>
          <w:rStyle w:val="Fett"/>
          <w:color w:val="000000"/>
          <w:lang w:val="en-US"/>
        </w:rPr>
      </w:pPr>
      <w:r>
        <w:rPr>
          <w:lang w:val="en-US"/>
        </w:rPr>
        <w:t xml:space="preserve">Philosophers have developed fundamentally different views on what time really is, and these views strongly influence how we study social reality: </w:t>
      </w:r>
    </w:p>
    <w:p w14:paraId="68D5B2EE" w14:textId="6E9454E9" w:rsidR="001A52FD" w:rsidRPr="00216178" w:rsidRDefault="00C64E03" w:rsidP="00616D64">
      <w:pPr>
        <w:pStyle w:val="StandardWeb"/>
        <w:spacing w:line="276" w:lineRule="auto"/>
        <w:rPr>
          <w:color w:val="000000"/>
          <w:lang w:val="en-US"/>
        </w:rPr>
      </w:pPr>
      <w:r>
        <w:rPr>
          <w:rStyle w:val="Fett"/>
          <w:color w:val="000000"/>
          <w:lang w:val="en-US"/>
        </w:rPr>
        <w:t>Presentism</w:t>
      </w:r>
      <w:r>
        <w:rPr>
          <w:rStyle w:val="apple-converted-space"/>
          <w:color w:val="000000"/>
          <w:lang w:val="en-US"/>
        </w:rPr>
        <w:t> </w:t>
      </w:r>
      <w:r>
        <w:rPr>
          <w:color w:val="000000"/>
          <w:lang w:val="en-US"/>
        </w:rPr>
        <w:t xml:space="preserve">claims that only the present moment truly exists and all that can be known about it is contained within the present. The past no longer exists, and the future does not yet exist. According to this view, time genuinely passes –moments come into existence as the present and then slip into the past. Labels such as ‘past’, ‘present’, and ‘future’ are not just ways of describing one’s perspective. They refer to real features of the world. When we say an event is “past,” we are not simply describing our position in time; we are saying that the event itself no longer exists </w:t>
      </w:r>
      <w:r>
        <w:rPr>
          <w:lang w:val="en-US"/>
        </w:rPr>
        <w:t>(Sider, 2001; McTaggart, 1908).</w:t>
      </w:r>
    </w:p>
    <w:p w14:paraId="693B51C8" w14:textId="578087E2" w:rsidR="00C64E03" w:rsidRPr="00585E0C" w:rsidRDefault="00C64E03" w:rsidP="00616D64">
      <w:r>
        <w:t xml:space="preserve">By contrast, </w:t>
      </w:r>
      <w:r>
        <w:rPr>
          <w:b/>
          <w:bCs/>
        </w:rPr>
        <w:t>Eternalism</w:t>
      </w:r>
      <w:r>
        <w:t xml:space="preserve"> claims that all moments in time (past, present, and future) exist equally. Time does not flow; instead, reality is a four-dimensional block that contains all events at once. The only objective facts about time are relations such as ‘earlier than’ and ‘later than’. What we call ‘past’ and ‘future’ simply reflects our position within this timeline, not differences in what is real (Sider, 2001; McTaggart, 1908).</w:t>
      </w:r>
    </w:p>
    <w:p w14:paraId="040D4043" w14:textId="7060759C" w:rsidR="00125AAB" w:rsidRPr="00585E0C" w:rsidRDefault="00125AAB" w:rsidP="00DD630B">
      <w:r>
        <w:t>Example:</w:t>
      </w:r>
    </w:p>
    <w:p w14:paraId="5688553C" w14:textId="77777777" w:rsidR="00BE7ED8" w:rsidRPr="00585E0C" w:rsidRDefault="00BE7ED8" w:rsidP="00BE7ED8">
      <w:pPr>
        <w:pStyle w:val="Listenabsatz"/>
        <w:numPr>
          <w:ilvl w:val="0"/>
          <w:numId w:val="11"/>
        </w:numPr>
      </w:pPr>
      <w:r>
        <w:t>Presentism:</w:t>
        <w:br/>
        <w:t>While New York and London both exist at the same time in different places, the Roman Empire no longer exists and the year 2100 does not yet exist. Only the present moment is real. The past has gone, and the future has not yet come into being.</w:t>
      </w:r>
    </w:p>
    <w:p w14:paraId="4B1CD1FF" w14:textId="632C745B" w:rsidR="00125AAB" w:rsidRPr="00585E0C" w:rsidRDefault="00125AAB" w:rsidP="00DD630B">
      <w:pPr>
        <w:pStyle w:val="Listenabsatz"/>
        <w:numPr>
          <w:ilvl w:val="0"/>
          <w:numId w:val="11"/>
        </w:numPr>
      </w:pPr>
      <w:r>
        <w:t>Eternalism:</w:t>
        <w:br/>
        <w:t xml:space="preserve">Just as New York and London both exist even though they are in different places, the Roman Empire and the year 2100 both exist even though they are at different points in time. They are simply located at different temporal positions, just as cities are located at different spatial positions. </w:t>
      </w:r>
    </w:p>
    <w:p w14:paraId="3EF1AA06" w14:textId="7FC1EF71" w:rsidR="00AD3092" w:rsidRDefault="00C163C3">
      <w:r>
        <w:t>This metaphysical debate is highly relevant for social research. Presentist frameworks align with approaches emphasizing agency, subjective experience, and the immediate present moment where actors make choices and create meanings. If only the present is real, then adequate social explanation must focus on current configurations, contemporary relationships, and how actors understand and navigate present circumstances.</w:t>
        <w:br/>
      </w:r>
    </w:p>
    <w:p w14:paraId="01B2FE39" w14:textId="357ACF50" w:rsidR="001A52FD" w:rsidRPr="00585E0C" w:rsidRDefault="00AD3092">
      <w:r>
        <w:br w:type="page"/>
        <w:lastRenderedPageBreak/>
        <w:t>Historical analysis becomes relevant primarily for understanding how present conditions emerged, but the past itself, no longer existing, cannot directly cause present outcomes. This perspective informs interpretivist and phenomenological (i.e., experience-based) approaches that privilege actors' immediate lived experience over historical structural analysis.</w:t>
      </w:r>
    </w:p>
    <w:p w14:paraId="177BEBD3" w14:textId="6D1BB385" w:rsidR="001A52FD" w:rsidRPr="00585E0C" w:rsidRDefault="00C163C3">
      <w:r>
        <w:t>Eternalist frameworks align with approaches emphasizing structural persistence, historical causation, and how past arrangements continue operating within present conditions. If all temporal moments exist equally, then past institutional arrangements, historical power relations, and earlier social processes remain real and can exercise causal influence despite being temporally distant from current observations. This perspective informs structuralist approaches examining how historical processes become embedded within contemporary structures, how path dependencies constrain present possibilities, and how past exclusions continue shaping current outcomes through mechanisms that persist across time.</w:t>
      </w:r>
    </w:p>
    <w:p w14:paraId="00896C76" w14:textId="59D6F16C" w:rsidR="001A52FD" w:rsidRPr="00585E0C" w:rsidRDefault="00C163C3" w:rsidP="00C163C3">
      <w:pPr>
        <w:pStyle w:val="Heading3"/>
      </w:pPr>
      <w:r>
        <w:t>9.2.2 Persistence: Endurance or Perdurance? Structure or Agency?</w:t>
      </w:r>
    </w:p>
    <w:p w14:paraId="72E4BDDC" w14:textId="744FA5B9" w:rsidR="00DD7896" w:rsidRPr="00585E0C" w:rsidRDefault="00C163C3">
      <w:pPr>
        <w:rPr>
          <w:szCs w:val="24"/>
        </w:rPr>
      </w:pPr>
      <w:r>
        <w:rPr>
          <w:szCs w:val="24"/>
        </w:rPr>
        <w:t xml:space="preserve">The debate between Presentism and Eternalism generates distinct accounts of persistence – that is how things remain the same, and keep their identity over time, despite change. </w:t>
      </w:r>
      <w:r>
        <w:rPr>
          <w:b/>
          <w:bCs/>
          <w:szCs w:val="24"/>
        </w:rPr>
        <w:t>Endurance</w:t>
      </w:r>
      <w:r>
        <w:rPr>
          <w:szCs w:val="24"/>
        </w:rPr>
        <w:t xml:space="preserve"> asserts that objects persist (endure) by existing wholly at each moment of their existence. </w:t>
      </w:r>
      <w:r>
        <w:rPr>
          <w:b/>
          <w:bCs/>
          <w:szCs w:val="24"/>
        </w:rPr>
        <w:t>Perdurance</w:t>
      </w:r>
      <w:r>
        <w:rPr>
          <w:szCs w:val="24"/>
        </w:rPr>
        <w:t>, by contrast, holds that objects persist by having different temporal parts at different times (with the complete object being the sum of all these various temporal parts throughout its existence) (Sider, 2001).</w:t>
      </w:r>
    </w:p>
    <w:p w14:paraId="49B5F5D5" w14:textId="046AE6A5" w:rsidR="00DD7896" w:rsidRPr="00585E0C" w:rsidRDefault="007B60A2" w:rsidP="00DD7896">
      <w:pPr>
        <w:pStyle w:val="Listenabsatz"/>
        <w:numPr>
          <w:ilvl w:val="0"/>
          <w:numId w:val="11"/>
        </w:numPr>
        <w:rPr>
          <w:szCs w:val="24"/>
        </w:rPr>
      </w:pPr>
      <w:r>
        <w:rPr>
          <w:szCs w:val="24"/>
        </w:rPr>
        <w:t>Endurance:</w:t>
        <w:br/>
        <w:t>A person exists fully as a child, fully as an adult, and fully in old age. Although this person is a complete entity at every stage of life, it is the very same whole person at each stage of life</w:t>
      </w:r>
    </w:p>
    <w:p w14:paraId="2440CA48" w14:textId="7CB5AE6C" w:rsidR="007B60A2" w:rsidRPr="00585E0C" w:rsidRDefault="007B60A2" w:rsidP="00DD630B">
      <w:pPr>
        <w:pStyle w:val="Listenabsatz"/>
        <w:numPr>
          <w:ilvl w:val="0"/>
          <w:numId w:val="11"/>
        </w:numPr>
        <w:rPr>
          <w:szCs w:val="24"/>
        </w:rPr>
      </w:pPr>
      <w:r>
        <w:rPr>
          <w:szCs w:val="24"/>
        </w:rPr>
        <w:t>Perdurance:</w:t>
        <w:br/>
        <w:t>A person is made up of different temporal stages: a child-stage, an adult-stage, and an elderly-stage. Each stage is only a part of a larger individual extended across time, rather than the whole person existing fully at each moment.</w:t>
      </w:r>
    </w:p>
    <w:p w14:paraId="24D4B13E" w14:textId="77777777" w:rsidR="002E7F7C" w:rsidRPr="00585E0C" w:rsidRDefault="007B60A2" w:rsidP="007B60A2">
      <w:pPr>
        <w:rPr>
          <w:szCs w:val="24"/>
        </w:rPr>
      </w:pPr>
      <w:r>
        <w:rPr>
          <w:szCs w:val="24"/>
        </w:rPr>
        <w:t>Endurance is often associated with Presentism, since if only the present exists, objects cannot literally be spread across past and future times. Perdurance, in turn, is often associated with Eternalism, because if past, present, and future all equally exist, then objects can be understood as extended across time, with different temporal parts located at different moments. However, as Sider (2001) argues, these combinations are not logically required: endurance and perdurance can, in principle, be combined with different views about the ontological status of time.</w:t>
      </w:r>
    </w:p>
    <w:p w14:paraId="67C02A3C" w14:textId="6E9E0F70" w:rsidR="002E7F7C" w:rsidRPr="00585E0C" w:rsidRDefault="00220163" w:rsidP="00DC1298">
      <w:pPr>
        <w:rPr>
          <w:szCs w:val="24"/>
        </w:rPr>
      </w:pPr>
      <w:r>
        <w:lastRenderedPageBreak/>
        <w:t>These different accounts of persistence carry implications for research orientation, though the relationship is one of elective affinity rather than logical entailment. Sider (2001) himself notes that endurance and perdurance are not strictly tied to Presentism and Eternalism respectively; the combinations are contingent rather than necessary. Nevertheless, the affinities are real and consequential. Where endurance frames the identity of social actors and institutions as wholly present at each moment of their existence, causal explanation is naturally drawn toward the present configuration of that entity: its current beliefs, dispositions, and relations with others. Research traditions that foreground reflexivity, interpretation, and lived experience rest implicitly on this understanding, locating the locus of social causation in acts of meaning-making and decision that unfold in the present rather than in processes distributed across time (Giddens, 1984). Where perdurance instead frames social entities as extended across time and composed of successive temporal parts, the present state of an institution or practice appears as one segment of a longer trajectory rather than as a self-sufficient whole. Explanation is accordingly oriented toward the historical accumulation of constraints, resources, and rules whose current configuration cannot be understood without tracing the developmental path through which it was produced (Pierson, 2004; Mahoney and Thelen, 2010). The point is not that endurance logically commits researchers to agency-centred methods or that perdurance logically commits them to structural-historical ones. Rather, each ontological picture makes certain explanatory strategies more natural and others more demanding, subtly shaping the questions that seem most urgent and the evidence that seems most adequate.</w:t>
      </w:r>
    </w:p>
    <w:p w14:paraId="075DD635" w14:textId="77B9C0AC" w:rsidR="001A52FD" w:rsidRPr="00585E0C" w:rsidRDefault="00C163C3" w:rsidP="00DD630B">
      <w:pPr>
        <w:pStyle w:val="Heading3"/>
      </w:pPr>
      <w:r>
        <w:t>9.2.3 Integration Through Stratified Temporal Ontology</w:t>
      </w:r>
    </w:p>
    <w:p w14:paraId="3B191AA4" w14:textId="4A4E1F00" w:rsidR="00202A81" w:rsidRPr="00DD630B" w:rsidRDefault="00202A81" w:rsidP="00D178D7">
      <w:pPr>
        <w:pStyle w:val="StandardWeb"/>
        <w:spacing w:line="276" w:lineRule="auto"/>
        <w:rPr>
          <w:color w:val="000000"/>
          <w:lang w:val="en-US"/>
        </w:rPr>
      </w:pPr>
      <w:r>
        <w:rPr>
          <w:color w:val="000000"/>
          <w:lang w:val="en-US"/>
        </w:rPr>
        <w:t xml:space="preserve">The preceding discussion of endurance and perdurance showed that temporal ontology directly shapes how we understand the relation between agency and structure. </w:t>
      </w:r>
      <w:r>
        <w:rPr>
          <w:lang w:val="en-US"/>
        </w:rPr>
        <w:t>The alignment between views of time (Presentism/Eternalism), views of persistence (endurance/perdurance), and research orientations further demonstrates how deeper ontological commitments shape research practice. Methodological differences are not merely technical preferences; they often reflect underlying assumptions about how social reality exists and persists over time.</w:t>
      </w:r>
    </w:p>
    <w:p w14:paraId="4D1FD873" w14:textId="1C95DAF9" w:rsidR="00202A81" w:rsidRDefault="00202A81" w:rsidP="00D178D7">
      <w:pPr>
        <w:pStyle w:val="StandardWeb"/>
        <w:spacing w:line="276" w:lineRule="auto"/>
        <w:rPr>
          <w:color w:val="000000"/>
          <w:lang w:val="en-US"/>
        </w:rPr>
      </w:pPr>
      <w:r>
        <w:rPr>
          <w:color w:val="000000"/>
          <w:lang w:val="en-US"/>
        </w:rPr>
        <w:t>Returning to the earlier debate between Presentism and Eternalism now clarifies the limits of purely metaphysical solutions. Attempts from modern physics to find a middle ground between the two illustrate this gap: the growing block theory holds that the past and present exist while the future does not yet exist, i.e. every new present moment adds on to the cumulative past that is real and continues to exist whereas the future is not yet determined (Sider, 2001). While this theory might adjust the ontological status of temporal moments, it still leaves the question of how historically formed structures remain effective within present action unresolved.</w:t>
      </w:r>
    </w:p>
    <w:p w14:paraId="7E5EBDEB" w14:textId="141BF42D" w:rsidR="00585E0C" w:rsidRPr="00DD630B" w:rsidRDefault="00585E0C" w:rsidP="00DD630B">
      <w:r>
        <w:rPr>
          <w:szCs w:val="24"/>
        </w:rPr>
        <w:lastRenderedPageBreak/>
        <w:t>Critical realism suggests a different kind of resolution by recognizing a stratified ontology. Different layers of reality require different temporal perspectives: Some properties persist across time (real domain), while observations, and thus research, always take place in the present (empirical domain). Adequate social explanation therefore requires recognizing both dimensions rather than choosing one over the other (Bhaskar, 1975; Bhaskar, 1979).</w:t>
      </w:r>
    </w:p>
    <w:p w14:paraId="404AF868" w14:textId="5ECC05C7" w:rsidR="00202A81" w:rsidRPr="00216178" w:rsidRDefault="00202A81" w:rsidP="00D178D7">
      <w:pPr>
        <w:pStyle w:val="StandardWeb"/>
        <w:spacing w:line="276" w:lineRule="auto"/>
        <w:rPr>
          <w:color w:val="000000"/>
          <w:lang w:val="en-US"/>
        </w:rPr>
      </w:pPr>
      <w:r>
        <w:rPr>
          <w:color w:val="000000"/>
          <w:lang w:val="en-US"/>
        </w:rPr>
        <w:t xml:space="preserve">From a stratified perspective, temporal reality therefore includes both present enactment and historically constituted structure. The present is the site of agency, but it is structured by mechanisms formed over time. The past does not persist as a separate temporal block; it remains operative through enduring structures whose properties continue to condition current action. Stratified ontology thus reframes the structure–agency tension as a layered temporal relation rather than a choice between competing metaphysical accounts of time </w:t>
      </w:r>
      <w:r>
        <w:rPr>
          <w:lang w:val="en-US"/>
        </w:rPr>
        <w:t>(Bhaskar, 1975; Bhaskar,1979)</w:t>
      </w:r>
      <w:r>
        <w:rPr>
          <w:color w:val="000000"/>
          <w:lang w:val="en-US"/>
        </w:rPr>
        <w:t>.</w:t>
      </w:r>
    </w:p>
    <w:p w14:paraId="0E75316E" w14:textId="001A175E" w:rsidR="001A52FD" w:rsidRPr="00585E0C" w:rsidRDefault="00C163C3" w:rsidP="00DD630B">
      <w:pPr>
        <w:pStyle w:val="Heading2"/>
      </w:pPr>
      <w:r>
        <w:t>9.3 The Ontology of Space</w:t>
      </w:r>
    </w:p>
    <w:p w14:paraId="39AE11AB" w14:textId="6C35D66E" w:rsidR="001A52FD" w:rsidRPr="00585E0C" w:rsidRDefault="00C163C3" w:rsidP="00DD630B">
      <w:pPr>
        <w:pStyle w:val="Heading3"/>
      </w:pPr>
      <w:r>
        <w:t>9.3.1 Absolute and Relative Space</w:t>
      </w:r>
    </w:p>
    <w:p w14:paraId="2FB4F6CF" w14:textId="6D58FAEE" w:rsidR="00C03C69" w:rsidRPr="00585E0C" w:rsidRDefault="00C163C3">
      <w:r>
        <w:t xml:space="preserve">Just as the ontology of time involves fundamental debates about whether time flows or remains fixed, the ontology of space raises equally fundamental questions about the nature of space itself. The concept of </w:t>
      </w:r>
      <w:r>
        <w:rPr>
          <w:b/>
          <w:bCs/>
        </w:rPr>
        <w:t>absolute space</w:t>
      </w:r>
      <w:r>
        <w:t xml:space="preserve"> holds that space exists as an independent container with its own properties, prior to and independent of objects located within it. Space has an objective structure (e.g., distances, directions, locations) that would exist even if nothing occupied it. Historically associated with Newton’s physics, this view treats space as a fixed framework within which objects move and interact. Newtonian mechanics relied on an absolute space account for phenomena such as acceleration and rotation: An object accelerates or rotates relative to space itself, not merely relative to other objects (Newton, 1687/1999).</w:t>
      </w:r>
    </w:p>
    <w:p w14:paraId="6A82B9B8" w14:textId="2DF0FDEA" w:rsidR="001A52FD" w:rsidRPr="00585E0C" w:rsidRDefault="00C03C69">
      <w:r>
        <w:t xml:space="preserve">By contrast, the concept of </w:t>
      </w:r>
      <w:r>
        <w:rPr>
          <w:b/>
          <w:bCs/>
        </w:rPr>
        <w:t>relative space</w:t>
      </w:r>
      <w:r>
        <w:t xml:space="preserve"> maintains that space exists only through relations between objects rather than as an independent container. Spatial properties like distance and direction are simply ways of describing how objects relate to one another; there is no independent space ‘in between’ them besides the fact that they stand in a relation of separation. Historically linked to Leibniz's critique of Newton, this view treats spatial properties as emerging from object relations rather than constituting an independent framework. To say objects are "three meters apart" solely describes a relation between them, not their position within an overarching structure. In this understanding, if all objects disappeared, space itself would also disappear because space consists of nothing but object relations (Leibniz, 1715-1716/1956).</w:t>
      </w:r>
    </w:p>
    <w:p w14:paraId="72AD7D7D" w14:textId="58CC97F1" w:rsidR="00A457FB" w:rsidRDefault="00C163C3">
      <w:r>
        <w:lastRenderedPageBreak/>
        <w:t>This metaphysical debate matters profoundly for social research. Like the ontology of time, this debate mirrors the structure-agency tension in spatial terms: following the logic of absolute space, space is understood as an independent container with its own properties – spatial arrangements appear as natural constraints. Adopting the framework of relative space, by contrast, shifts the emphasis toward social production. Spatial arrangements do not precede social interaction; they emerge from it (Massey, 1993).</w:t>
      </w:r>
    </w:p>
    <w:p w14:paraId="4532A39F" w14:textId="787C88BA" w:rsidR="00A457FB" w:rsidRDefault="00A457FB" w:rsidP="00A457FB">
      <w:pPr>
        <w:pStyle w:val="Listenabsatz"/>
        <w:numPr>
          <w:ilvl w:val="0"/>
          <w:numId w:val="11"/>
        </w:numPr>
      </w:pPr>
      <w:r>
        <w:t>Absolute space:</w:t>
        <w:br/>
        <w:t>Mountains, rivers, and national borders exist as spatial features that constrain movement and interaction. A mountain range increases transportation costs whether actors recognize this or not. A territorial border defines jurisdiction even if its legitimacy is contested. Space provides a framework within which social life unfolds.</w:t>
      </w:r>
    </w:p>
    <w:p w14:paraId="2550A7FB" w14:textId="6639EDCC" w:rsidR="00A457FB" w:rsidRDefault="00A457FB" w:rsidP="00A457FB">
      <w:pPr>
        <w:pStyle w:val="Listenabsatz"/>
        <w:numPr>
          <w:ilvl w:val="0"/>
          <w:numId w:val="11"/>
        </w:numPr>
      </w:pPr>
      <w:r>
        <w:t>Relative space:</w:t>
        <w:br/>
        <w:t>A border only operates through political authority and enforcement. A neighborhood exists through patterns of investment, exclusion, and shared identity. Even landscapes are shaped by human activity and cultural interpretation. Space is not simply a container; it is continuously constituted through social interaction.</w:t>
      </w:r>
    </w:p>
    <w:p w14:paraId="616AB00D" w14:textId="30D1B782" w:rsidR="00A457FB" w:rsidRDefault="00A457FB" w:rsidP="00A457FB">
      <w:r>
        <w:t>The core issue, therefore, is whether spatial structure precedes and shapes social action, or whether spatial arrangements themselves emerge from social interaction. Like the temporal debate, this opposition risks forcing a choice between structure and agency. Research treating spatial factors as independent variables typically adopts the assumptions of absolute space (even when not explicitly articulated); research treating space as socially produced typically adopts the assumption of relational space (Massey, 1993).</w:t>
      </w:r>
    </w:p>
    <w:p>
      <w:r>
        <w:t xml:space="preserve">A concrete example of spatial specificity comes from development economics. The ‘resource curse’ and its Dutch disease variant describe how resource wealth can undermine long-term development: a natural resource boom appreciates the currency, renders other export sectors uncompetitive, and concentrates political power around resource rents (Corden &amp; Neary, 1982; Ross, 1999). Read through absolute space, the resource endowment is a fixed locational fact: some territories simply contain oil or gas, and their development trajectories follow from that given. Read through relational space, the ‘curse’ is not in the ground at all: it emerges from the relations in which a resource-rich territory is embedded, including world market prices, exchange rate regimes, the structure of state institutions, and the position of the economy within international divisions of labour. The same physical endowment coincides with prosperity in one relational configuration, as in Norway, and with stagnation or conflict in another, which suggests that the causal significance of location is constituted through relations rather than contained in the territory itself.</w:t>
      </w:r>
    </w:p>
    <w:p w14:paraId="75587260" w14:textId="1FC7D600" w:rsidR="001A52FD" w:rsidRPr="00585E0C" w:rsidRDefault="00A457FB">
      <w:r>
        <w:t xml:space="preserve">Rather than treating these positions as mutually exclusive, the following section proposes that the tension can be resolved by recognizing that different aspects of space operate at different levels of reality. Just as critical realism resolves temporal tensions through stratified ontology a similar resolution proves possible for spatial debates. </w:t>
      </w:r>
    </w:p>
    <w:p w14:paraId="7D1D3A60" w14:textId="506981BC" w:rsidR="001A52FD" w:rsidRPr="00585E0C" w:rsidRDefault="00C163C3" w:rsidP="00DD630B">
      <w:pPr>
        <w:pStyle w:val="Heading3"/>
      </w:pPr>
      <w:r>
        <w:t>9.3.2 Integration Through Stratified Ontology</w:t>
      </w:r>
    </w:p>
    <w:p w14:paraId="4497027F" w14:textId="62CB0809" w:rsidR="001A52FD" w:rsidRPr="00585E0C" w:rsidRDefault="00861487" w:rsidP="00861487">
      <w:r>
        <w:t xml:space="preserve">The apparent tension between absolute and relative space does not admit of a single resolution, but it can be understood through the recognition that spatial arrangements operate simultaneously at different levels of analysis. This is not a move unique to any one theoretical tradition. Structuration theory holds that spatial structures are both the medium and the outcome of social practices, neither reducible to fixed material constraints nor to momentary social interaction alone (Giddens, 1984). Historical institutionalism similarly treats spatial configurations as path-dependent accumulations </w:t>
        <w:lastRenderedPageBreak/>
        <w:t>that constrain present action without being entirely independent of it (Pierson, 2004). Critical realism addresses the same tension by distinguishing between the relatively stable causal powers of spatial arrangements and the social processes through which those powers are produced and reproduced, insisting that neither dimension can be collapsed into the other (Bhaskar, 1975; Sayer, 2000). What these approaches share is the insight that spatial reality has both relatively stable properties, capable of exercising causal influence across time, and socially produced dimensions, continuously reproduced and potentially transformed through practice. Once established, spatial arrangements such as urban concentrations, jurisdictional boundaries, or infrastructural networks can shape economic possibilities and institutional authority in ways that persist beyond the particular interactions that produced them, yet they remain dependent on ongoing social processes of investment, governance, and interpretation for their continued effectiveness (Massey, 1993). Frameworks of absolute and relative space are therefore not mutually exclusive; they attend to different aspects of the same spatial reality, and adequate explanation requires holding both in view rather than treating one as foundational and the other as derivative.</w:t>
      </w:r>
    </w:p>
    <w:p w14:paraId="055D2153" w14:textId="7CF4BDCA" w:rsidR="001A52FD" w:rsidRPr="00585E0C" w:rsidRDefault="00C163C3" w:rsidP="00DD630B">
      <w:pPr>
        <w:pStyle w:val="Heading2"/>
      </w:pPr>
      <w:r>
        <w:t>9.4 Synchronic and Diachronic Methods</w:t>
      </w:r>
    </w:p>
    <w:p w14:paraId="45D4C813" w14:textId="5C5A9322" w:rsidR="001A52FD" w:rsidRPr="00585E0C" w:rsidRDefault="00C163C3">
      <w:r>
        <w:t>Having examined different ontological perspectives on time and space, we now turn to their methodological implications. As tools for analysis this section introduces synchronic and diachronic research methods. Their distinction is not philosophical, but rather grounded in their methodological approach, thus, how research is designed and conducted. Understanding these methodological tools proves essential because different research questions require different strategies, and as shown earlier powerful results mostly require integrating both approaches.</w:t>
      </w:r>
    </w:p>
    <w:p w14:paraId="5F6F7DF7" w14:textId="5D65C4F5" w:rsidR="00AD3092" w:rsidRDefault="00C163C3">
      <w:r>
        <w:rPr>
          <w:b/>
          <w:bCs/>
        </w:rPr>
        <w:t>Synchronic methods</w:t>
      </w:r>
      <w:r>
        <w:t xml:space="preserve"> focus on capturing relationships and patterns at a particular moment in time. The term derives from the Greek “</w:t>
      </w:r>
      <w:r>
        <w:rPr>
          <w:i/>
        </w:rPr>
        <w:t>syn</w:t>
      </w:r>
      <w:r>
        <w:rPr>
          <w:i/>
          <w:iCs/>
        </w:rPr>
        <w:t>”</w:t>
      </w:r>
      <w:r>
        <w:t xml:space="preserve"> (together) and “</w:t>
      </w:r>
      <w:r>
        <w:rPr>
          <w:i/>
        </w:rPr>
        <w:t>chronos</w:t>
      </w:r>
      <w:r>
        <w:rPr>
          <w:i/>
          <w:iCs/>
        </w:rPr>
        <w:t>”</w:t>
      </w:r>
      <w:r>
        <w:t xml:space="preserve"> (time), indicating analysis of things existing together at the same time. They focus on how elements relate within a given configuration (not requiring comprehensive historical investigation). Surveys, experiments, ethnographic observations and comparative case studies of contemporary contexts are typical examples. </w:t>
      </w:r>
    </w:p>
    <w:p w14:paraId="65C3168F" w14:textId="67D3BADE" w:rsidR="001A52FD" w:rsidRPr="00585E0C" w:rsidRDefault="004D5563">
      <w:r>
        <w:t>These approaches are useful for identifying current patterns by documenting, observing or comparing attitudes, behaviors, and social characteristics at specific time points. Further, they can test causal relationships through manipulating variables at particular moments. However, taken alone synchronic methods risk treating present configurations as self-contained; overlooking how they were historically formed (Danermark et al., 2002).</w:t>
      </w:r>
    </w:p>
    <w:p w14:paraId="674AC8C1" w14:textId="31DA5CD6" w:rsidR="001A52FD" w:rsidRPr="00585E0C" w:rsidRDefault="00C163C3">
      <w:r>
        <w:rPr>
          <w:b/>
          <w:bCs/>
        </w:rPr>
        <w:lastRenderedPageBreak/>
        <w:t>Diachronic methods</w:t>
      </w:r>
      <w:r>
        <w:t xml:space="preserve"> analyze development and change across time. The term derives from “</w:t>
      </w:r>
      <w:r>
        <w:rPr>
          <w:i/>
        </w:rPr>
        <w:t>dia</w:t>
      </w:r>
      <w:r>
        <w:rPr>
          <w:i/>
          <w:iCs/>
        </w:rPr>
        <w:t>”</w:t>
      </w:r>
      <w:r>
        <w:rPr>
          <w:i/>
        </w:rPr>
        <w:t xml:space="preserve"> </w:t>
      </w:r>
      <w:r>
        <w:t>(through or across) and “</w:t>
      </w:r>
      <w:r>
        <w:rPr>
          <w:i/>
        </w:rPr>
        <w:t>chronos</w:t>
      </w:r>
      <w:r>
        <w:rPr>
          <w:i/>
          <w:iCs/>
        </w:rPr>
        <w:t>”</w:t>
      </w:r>
      <w:r>
        <w:t xml:space="preserve"> (time), indicating analysis through temporal sequences. They trace how phenomena emerge, stabilize or transform. Historical institutionalism, longitudinal studies, process-tracing, and event sequence analysis are examples. These approaches are essential for identifying path dependencies, critical junctures, and the accumulation of structural effects. Yet, on their own, they may underemphasize how present interactions actively reproduce or modify inherited structures (Pierson, 2004).</w:t>
      </w:r>
    </w:p>
    <w:p w14:paraId="51C73A1E" w14:textId="42A179DC" w:rsidR="001749E2" w:rsidRDefault="00A412F2">
      <w:r>
        <w:t>In practice many research questions require combining synchronic and diachronic methods. Furthermore, it should be noted that some characteristics of synchronic and diachronic methods closely align with different ontological stances on time and space that we have discussed earlier. Thus, methodological choice can also reflect deeper assumptions about how social reality persists over time and space. The table below summarises some of these parallels.</w:t>
      </w:r>
    </w:p>
    <w:tbl>
      <w:tblPr>
        <w:tblStyle w:val="Tabellenraster"/>
        <w:tblW w:w="0" w:type="auto"/>
        <w:tblLook w:val="04A0" w:firstRow="1" w:lastRow="0" w:firstColumn="1" w:lastColumn="0" w:noHBand="0" w:noVBand="1"/>
      </w:tblPr>
      <w:tblGrid>
        <w:gridCol w:w="2876"/>
        <w:gridCol w:w="2877"/>
        <w:gridCol w:w="2877"/>
      </w:tblGrid>
      <w:tr w:rsidR="00B04CC5" w14:paraId="10E0F72D" w14:textId="77777777" w:rsidTr="00B04CC5">
        <w:tc>
          <w:tcPr>
            <w:tcW w:w="2876" w:type="dxa"/>
          </w:tcPr>
          <w:p w14:paraId="3FA04E53" w14:textId="77777777" w:rsidR="00B04CC5" w:rsidRPr="00DD630B" w:rsidRDefault="00B04CC5">
            <w:pPr>
              <w:rPr>
                <w:sz w:val="20"/>
                <w:szCs w:val="18"/>
              </w:rPr>
            </w:pPr>
          </w:p>
        </w:tc>
        <w:tc>
          <w:tcPr>
            <w:tcW w:w="2877" w:type="dxa"/>
          </w:tcPr>
          <w:p w14:paraId="03E99102" w14:textId="2C717F39" w:rsidR="00B04CC5" w:rsidRPr="00DD630B" w:rsidRDefault="00B04CC5">
            <w:pPr>
              <w:rPr>
                <w:b/>
                <w:bCs/>
                <w:sz w:val="20"/>
                <w:szCs w:val="18"/>
              </w:rPr>
            </w:pPr>
            <w:r>
              <w:rPr>
                <w:b/>
                <w:bCs/>
                <w:sz w:val="20"/>
                <w:szCs w:val="18"/>
              </w:rPr>
              <w:t>Synchronic Analysis</w:t>
            </w:r>
          </w:p>
        </w:tc>
        <w:tc>
          <w:tcPr>
            <w:tcW w:w="2877" w:type="dxa"/>
          </w:tcPr>
          <w:p w14:paraId="326CBED0" w14:textId="51B13B1A" w:rsidR="00B04CC5" w:rsidRPr="00DD630B" w:rsidRDefault="00B04CC5">
            <w:pPr>
              <w:rPr>
                <w:b/>
                <w:bCs/>
                <w:sz w:val="20"/>
                <w:szCs w:val="18"/>
              </w:rPr>
            </w:pPr>
            <w:r>
              <w:rPr>
                <w:b/>
                <w:bCs/>
                <w:sz w:val="20"/>
                <w:szCs w:val="18"/>
              </w:rPr>
              <w:t>Diachronic Analysis</w:t>
            </w:r>
          </w:p>
        </w:tc>
      </w:tr>
      <w:tr w:rsidR="00B04CC5" w14:paraId="3E61E929" w14:textId="77777777" w:rsidTr="00B04CC5">
        <w:tc>
          <w:tcPr>
            <w:tcW w:w="2876" w:type="dxa"/>
          </w:tcPr>
          <w:p w14:paraId="21772303" w14:textId="3D69D2B1" w:rsidR="00B04CC5" w:rsidRPr="00DD630B" w:rsidRDefault="00B04CC5">
            <w:pPr>
              <w:rPr>
                <w:b/>
                <w:bCs/>
                <w:sz w:val="20"/>
                <w:szCs w:val="18"/>
              </w:rPr>
            </w:pPr>
            <w:r>
              <w:rPr>
                <w:b/>
                <w:bCs/>
                <w:sz w:val="20"/>
                <w:szCs w:val="18"/>
              </w:rPr>
              <w:t>Primary Focus</w:t>
            </w:r>
          </w:p>
        </w:tc>
        <w:tc>
          <w:tcPr>
            <w:tcW w:w="2877" w:type="dxa"/>
          </w:tcPr>
          <w:p w14:paraId="7286DD43" w14:textId="6C63EA5F" w:rsidR="00B04CC5" w:rsidRPr="00DD630B" w:rsidRDefault="00B04CC5">
            <w:pPr>
              <w:rPr>
                <w:sz w:val="20"/>
                <w:szCs w:val="18"/>
              </w:rPr>
            </w:pPr>
            <w:r>
              <w:rPr>
                <w:sz w:val="20"/>
                <w:szCs w:val="18"/>
              </w:rPr>
              <w:t>Present configuration (at any point in time)</w:t>
            </w:r>
          </w:p>
        </w:tc>
        <w:tc>
          <w:tcPr>
            <w:tcW w:w="2877" w:type="dxa"/>
          </w:tcPr>
          <w:p w14:paraId="3AE355DE" w14:textId="1E6402A6" w:rsidR="00B04CC5" w:rsidRPr="00DD630B" w:rsidRDefault="00B04CC5">
            <w:pPr>
              <w:rPr>
                <w:sz w:val="20"/>
                <w:szCs w:val="18"/>
              </w:rPr>
            </w:pPr>
            <w:r>
              <w:rPr>
                <w:sz w:val="20"/>
                <w:szCs w:val="18"/>
              </w:rPr>
              <w:t>Development over time</w:t>
            </w:r>
          </w:p>
        </w:tc>
      </w:tr>
      <w:tr w:rsidR="00B04CC5" w14:paraId="284B61B2" w14:textId="77777777" w:rsidTr="00B04CC5">
        <w:tc>
          <w:tcPr>
            <w:tcW w:w="2876" w:type="dxa"/>
          </w:tcPr>
          <w:p w14:paraId="5BD7D392" w14:textId="616F7987" w:rsidR="00B04CC5" w:rsidRPr="00DD630B" w:rsidRDefault="00B04CC5">
            <w:pPr>
              <w:rPr>
                <w:b/>
                <w:bCs/>
                <w:sz w:val="20"/>
                <w:szCs w:val="18"/>
              </w:rPr>
            </w:pPr>
            <w:r>
              <w:rPr>
                <w:b/>
                <w:bCs/>
                <w:sz w:val="20"/>
                <w:szCs w:val="18"/>
              </w:rPr>
              <w:t>Core Question</w:t>
            </w:r>
          </w:p>
        </w:tc>
        <w:tc>
          <w:tcPr>
            <w:tcW w:w="2877" w:type="dxa"/>
          </w:tcPr>
          <w:p w14:paraId="01DC7FEE" w14:textId="102828A8" w:rsidR="00B04CC5" w:rsidRPr="00DD630B" w:rsidRDefault="00B04CC5">
            <w:pPr>
              <w:rPr>
                <w:sz w:val="20"/>
                <w:szCs w:val="18"/>
              </w:rPr>
            </w:pPr>
            <w:r>
              <w:rPr>
                <w:sz w:val="20"/>
                <w:szCs w:val="18"/>
              </w:rPr>
              <w:t>How do things relate now?</w:t>
            </w:r>
          </w:p>
        </w:tc>
        <w:tc>
          <w:tcPr>
            <w:tcW w:w="2877" w:type="dxa"/>
          </w:tcPr>
          <w:p w14:paraId="0324728E" w14:textId="1CE4CE1F" w:rsidR="00B04CC5" w:rsidRPr="00DD630B" w:rsidRDefault="00B04CC5">
            <w:pPr>
              <w:rPr>
                <w:sz w:val="20"/>
                <w:szCs w:val="18"/>
              </w:rPr>
            </w:pPr>
            <w:r>
              <w:rPr>
                <w:sz w:val="20"/>
                <w:szCs w:val="18"/>
              </w:rPr>
              <w:t>How did this come to be?</w:t>
            </w:r>
          </w:p>
        </w:tc>
      </w:tr>
      <w:tr w:rsidR="00B04CC5" w14:paraId="2B067ACA" w14:textId="77777777" w:rsidTr="00B04CC5">
        <w:tc>
          <w:tcPr>
            <w:tcW w:w="2876" w:type="dxa"/>
          </w:tcPr>
          <w:p w14:paraId="4D3A969F" w14:textId="68176213" w:rsidR="00B04CC5" w:rsidRPr="00DD630B" w:rsidRDefault="00B04CC5">
            <w:pPr>
              <w:rPr>
                <w:b/>
                <w:bCs/>
                <w:sz w:val="20"/>
                <w:szCs w:val="18"/>
              </w:rPr>
            </w:pPr>
            <w:r>
              <w:rPr>
                <w:b/>
                <w:bCs/>
                <w:sz w:val="20"/>
                <w:szCs w:val="18"/>
              </w:rPr>
              <w:t>Temporal Orientation</w:t>
            </w:r>
          </w:p>
        </w:tc>
        <w:tc>
          <w:tcPr>
            <w:tcW w:w="2877" w:type="dxa"/>
          </w:tcPr>
          <w:p w14:paraId="5BB12B99" w14:textId="47B84BD3" w:rsidR="00B04CC5" w:rsidRPr="00DD630B" w:rsidRDefault="00B04CC5">
            <w:pPr>
              <w:rPr>
                <w:sz w:val="20"/>
                <w:szCs w:val="18"/>
              </w:rPr>
            </w:pPr>
            <w:r>
              <w:rPr>
                <w:sz w:val="20"/>
                <w:szCs w:val="18"/>
              </w:rPr>
              <w:t>Present-centered</w:t>
            </w:r>
          </w:p>
        </w:tc>
        <w:tc>
          <w:tcPr>
            <w:tcW w:w="2877" w:type="dxa"/>
          </w:tcPr>
          <w:p w14:paraId="36E2849E" w14:textId="2735E498" w:rsidR="00B04CC5" w:rsidRPr="00DD630B" w:rsidRDefault="00B04CC5">
            <w:pPr>
              <w:rPr>
                <w:sz w:val="20"/>
                <w:szCs w:val="18"/>
              </w:rPr>
            </w:pPr>
            <w:r>
              <w:rPr>
                <w:sz w:val="20"/>
                <w:szCs w:val="18"/>
              </w:rPr>
              <w:t>Historically extended</w:t>
            </w:r>
          </w:p>
        </w:tc>
      </w:tr>
      <w:tr w:rsidR="00B04CC5" w14:paraId="728F6A48" w14:textId="77777777" w:rsidTr="00B04CC5">
        <w:tc>
          <w:tcPr>
            <w:tcW w:w="2876" w:type="dxa"/>
          </w:tcPr>
          <w:p w14:paraId="32A1659C" w14:textId="51C3F42E" w:rsidR="00B04CC5" w:rsidRPr="00DD630B" w:rsidRDefault="00E307A3">
            <w:pPr>
              <w:rPr>
                <w:b/>
                <w:bCs/>
                <w:sz w:val="20"/>
                <w:szCs w:val="18"/>
              </w:rPr>
            </w:pPr>
            <w:r>
              <w:rPr>
                <w:b/>
                <w:bCs/>
                <w:sz w:val="20"/>
                <w:szCs w:val="18"/>
              </w:rPr>
              <w:t>Primary Associated Ontology of Time</w:t>
            </w:r>
          </w:p>
        </w:tc>
        <w:tc>
          <w:tcPr>
            <w:tcW w:w="2877" w:type="dxa"/>
          </w:tcPr>
          <w:p w14:paraId="74C3DD6C" w14:textId="156FD7D3" w:rsidR="00B04CC5" w:rsidRPr="00DD630B" w:rsidRDefault="00B04CC5">
            <w:pPr>
              <w:rPr>
                <w:sz w:val="20"/>
                <w:szCs w:val="18"/>
              </w:rPr>
            </w:pPr>
            <w:r>
              <w:rPr>
                <w:sz w:val="20"/>
                <w:szCs w:val="18"/>
              </w:rPr>
              <w:t>Presentism (only the present is real)</w:t>
              <w:br/>
            </w:r>
            <w:r>
              <w:rPr>
                <w:rFonts w:ascii="Cambria Math" w:hAnsi="Cambria Math" w:cs="Cambria Math"/>
                <w:sz w:val="20"/>
                <w:szCs w:val="18"/>
              </w:rPr>
              <w:t>⟶</w:t>
            </w:r>
            <w:r>
              <w:rPr>
                <w:sz w:val="20"/>
                <w:szCs w:val="18"/>
              </w:rPr>
              <w:t xml:space="preserve"> Endurance (wholly present at each moment)</w:t>
            </w:r>
          </w:p>
        </w:tc>
        <w:tc>
          <w:tcPr>
            <w:tcW w:w="2877" w:type="dxa"/>
          </w:tcPr>
          <w:p w14:paraId="19126A94" w14:textId="51523E78" w:rsidR="00B04CC5" w:rsidRPr="00DD630B" w:rsidRDefault="00B04CC5">
            <w:pPr>
              <w:rPr>
                <w:sz w:val="20"/>
                <w:szCs w:val="18"/>
              </w:rPr>
            </w:pPr>
            <w:r>
              <w:rPr>
                <w:sz w:val="20"/>
                <w:szCs w:val="18"/>
              </w:rPr>
              <w:t>Eternalism (past, present and future are equally real)</w:t>
              <w:br/>
            </w:r>
            <w:r>
              <w:rPr>
                <w:rFonts w:ascii="Cambria Math" w:hAnsi="Cambria Math" w:cs="Cambria Math"/>
                <w:sz w:val="20"/>
                <w:szCs w:val="18"/>
              </w:rPr>
              <w:t>⟶</w:t>
            </w:r>
            <w:r>
              <w:rPr>
                <w:sz w:val="20"/>
                <w:szCs w:val="18"/>
              </w:rPr>
              <w:t xml:space="preserve"> Perdurance (extended across temporal parts)</w:t>
            </w:r>
          </w:p>
        </w:tc>
      </w:tr>
      <w:tr w:rsidR="00B04CC5" w14:paraId="1E217202" w14:textId="77777777" w:rsidTr="00B04CC5">
        <w:tc>
          <w:tcPr>
            <w:tcW w:w="2876" w:type="dxa"/>
          </w:tcPr>
          <w:p w14:paraId="02ED470B" w14:textId="6EF37B82" w:rsidR="00B04CC5" w:rsidRPr="00DD630B" w:rsidRDefault="00E307A3">
            <w:pPr>
              <w:rPr>
                <w:b/>
                <w:bCs/>
                <w:sz w:val="20"/>
                <w:szCs w:val="18"/>
              </w:rPr>
            </w:pPr>
            <w:r>
              <w:rPr>
                <w:b/>
                <w:bCs/>
                <w:sz w:val="20"/>
                <w:szCs w:val="18"/>
              </w:rPr>
              <w:t>Primary Associated Ontology of Space</w:t>
            </w:r>
          </w:p>
        </w:tc>
        <w:tc>
          <w:tcPr>
            <w:tcW w:w="2877" w:type="dxa"/>
          </w:tcPr>
          <w:p w14:paraId="63CB2046" w14:textId="43F4FA02" w:rsidR="00B04CC5" w:rsidRPr="00DD630B" w:rsidRDefault="00B04CC5">
            <w:pPr>
              <w:rPr>
                <w:sz w:val="20"/>
                <w:szCs w:val="18"/>
              </w:rPr>
            </w:pPr>
            <w:r>
              <w:rPr>
                <w:sz w:val="20"/>
                <w:szCs w:val="18"/>
              </w:rPr>
              <w:t>Relative space (space produced through interaction)</w:t>
            </w:r>
          </w:p>
        </w:tc>
        <w:tc>
          <w:tcPr>
            <w:tcW w:w="2877" w:type="dxa"/>
          </w:tcPr>
          <w:p w14:paraId="02A20EE1" w14:textId="69DEBC95" w:rsidR="00B04CC5" w:rsidRPr="00DD630B" w:rsidRDefault="00B04CC5">
            <w:pPr>
              <w:rPr>
                <w:sz w:val="20"/>
                <w:szCs w:val="18"/>
              </w:rPr>
            </w:pPr>
            <w:r>
              <w:rPr>
                <w:sz w:val="20"/>
                <w:szCs w:val="18"/>
              </w:rPr>
              <w:t>Absolute space (space as structured constraint)</w:t>
            </w:r>
          </w:p>
        </w:tc>
      </w:tr>
      <w:tr w:rsidR="00B04CC5" w14:paraId="1BF22221" w14:textId="77777777" w:rsidTr="00B04CC5">
        <w:tc>
          <w:tcPr>
            <w:tcW w:w="2876" w:type="dxa"/>
          </w:tcPr>
          <w:p w14:paraId="041F66E9" w14:textId="68C9473F" w:rsidR="00B04CC5" w:rsidRPr="00DD630B" w:rsidRDefault="00B04CC5">
            <w:pPr>
              <w:rPr>
                <w:b/>
                <w:bCs/>
                <w:sz w:val="20"/>
                <w:szCs w:val="18"/>
              </w:rPr>
            </w:pPr>
            <w:r>
              <w:rPr>
                <w:b/>
                <w:bCs/>
                <w:sz w:val="20"/>
                <w:szCs w:val="18"/>
              </w:rPr>
              <w:t xml:space="preserve">Structure-Agency </w:t>
            </w:r>
          </w:p>
        </w:tc>
        <w:tc>
          <w:tcPr>
            <w:tcW w:w="2877" w:type="dxa"/>
          </w:tcPr>
          <w:p w14:paraId="43BBBB42" w14:textId="1636B16D" w:rsidR="00B04CC5" w:rsidRPr="00DD630B" w:rsidRDefault="00B04CC5">
            <w:pPr>
              <w:rPr>
                <w:sz w:val="20"/>
                <w:szCs w:val="18"/>
              </w:rPr>
            </w:pPr>
            <w:r>
              <w:rPr>
                <w:sz w:val="20"/>
                <w:szCs w:val="18"/>
              </w:rPr>
              <w:t>Agency-centred (focus on present action)</w:t>
            </w:r>
          </w:p>
        </w:tc>
        <w:tc>
          <w:tcPr>
            <w:tcW w:w="2877" w:type="dxa"/>
          </w:tcPr>
          <w:p w14:paraId="140B98D0" w14:textId="7020E9C2" w:rsidR="00B04CC5" w:rsidRPr="00DD630B" w:rsidRDefault="00B04CC5">
            <w:pPr>
              <w:rPr>
                <w:sz w:val="20"/>
                <w:szCs w:val="18"/>
              </w:rPr>
            </w:pPr>
            <w:r>
              <w:rPr>
                <w:sz w:val="20"/>
                <w:szCs w:val="18"/>
              </w:rPr>
              <w:t>Structure-centered (focus on historical formation)</w:t>
            </w:r>
          </w:p>
        </w:tc>
      </w:tr>
      <w:tr w:rsidR="00B04CC5" w14:paraId="037AA67A" w14:textId="77777777" w:rsidTr="00B04CC5">
        <w:tc>
          <w:tcPr>
            <w:tcW w:w="2876" w:type="dxa"/>
          </w:tcPr>
          <w:p w14:paraId="3314192A" w14:textId="64BCB0A4" w:rsidR="00B04CC5" w:rsidRPr="00DD630B" w:rsidRDefault="00B04CC5">
            <w:pPr>
              <w:rPr>
                <w:b/>
                <w:bCs/>
                <w:sz w:val="20"/>
                <w:szCs w:val="18"/>
              </w:rPr>
            </w:pPr>
            <w:r>
              <w:rPr>
                <w:b/>
                <w:bCs/>
                <w:sz w:val="20"/>
                <w:szCs w:val="18"/>
              </w:rPr>
              <w:t>Risk</w:t>
            </w:r>
          </w:p>
        </w:tc>
        <w:tc>
          <w:tcPr>
            <w:tcW w:w="2877" w:type="dxa"/>
          </w:tcPr>
          <w:p w14:paraId="25163D8C" w14:textId="483C6F82" w:rsidR="00B04CC5" w:rsidRPr="00DD630B" w:rsidRDefault="00B04CC5">
            <w:pPr>
              <w:rPr>
                <w:sz w:val="20"/>
                <w:szCs w:val="18"/>
              </w:rPr>
            </w:pPr>
            <w:r>
              <w:rPr>
                <w:sz w:val="20"/>
                <w:szCs w:val="18"/>
              </w:rPr>
              <w:t>Treats present as self-constrained</w:t>
            </w:r>
          </w:p>
        </w:tc>
        <w:tc>
          <w:tcPr>
            <w:tcW w:w="2877" w:type="dxa"/>
          </w:tcPr>
          <w:p w14:paraId="6143DCCE" w14:textId="33E9F50E" w:rsidR="00B04CC5" w:rsidRPr="00DD630B" w:rsidRDefault="00B04CC5">
            <w:pPr>
              <w:rPr>
                <w:sz w:val="20"/>
                <w:szCs w:val="18"/>
              </w:rPr>
            </w:pPr>
            <w:r>
              <w:rPr>
                <w:sz w:val="20"/>
                <w:szCs w:val="18"/>
              </w:rPr>
              <w:t>Overemphasize structural determination</w:t>
            </w:r>
          </w:p>
        </w:tc>
      </w:tr>
    </w:tbl>
    <w:p w14:paraId="0614186B" w14:textId="34B5A0CF" w:rsidR="001A52FD" w:rsidRPr="00585E0C" w:rsidRDefault="00C163C3" w:rsidP="00DD630B">
      <w:pPr>
        <w:pStyle w:val="Heading2"/>
      </w:pPr>
      <w:r>
        <w:t>9.5 Bhaskar’s Four Modes: Integrating Synchronic and Diachronic Analysis</w:t>
      </w:r>
    </w:p>
    <w:p w14:paraId="3059C852" w14:textId="76FA897A" w:rsidR="00F44A56" w:rsidRPr="00585E0C" w:rsidRDefault="00C163C3">
      <w:r>
        <w:t xml:space="preserve">Having examined the ontologies of time and space and the methodological distinction between synchronic and diachronic analysis, we can now examine how critical realist ontology integrates the two. </w:t>
      </w:r>
      <w:r>
        <w:rPr>
          <w:b/>
          <w:bCs/>
        </w:rPr>
        <w:t>Bhaskar's (1993) four modes of the presence of the past</w:t>
      </w:r>
      <w:r>
        <w:t xml:space="preserve"> show how historical processes remain active within the present. The past does not simply precede the present; it persists within it. Acknowledging a stratified ontology, synchronic analysis (examining present-moment relationships) and diachronic analysis (tracing historical development) can be integrated without reducing either to the other. This framework resolves earlier encountered tensions by clarifying how structures perdure across time, while simultaneously enduring in present configurations, and how agency operates within historically constituted structures.</w:t>
      </w:r>
    </w:p>
    <w:p w14:paraId="3AB51A3B" w14:textId="6992B1DD" w:rsidR="001A52FD" w:rsidRPr="00585E0C" w:rsidRDefault="00F44A56" w:rsidP="00DD630B">
      <w:pPr>
        <w:pStyle w:val="Heading3"/>
      </w:pPr>
      <w:r>
        <w:t>9.5.1 Existential Constitution</w:t>
      </w:r>
    </w:p>
    <w:p w14:paraId="28E7D878" w14:textId="0A02AA3D" w:rsidR="00F44A56" w:rsidRDefault="00C163C3">
      <w:r>
        <w:rPr>
          <w:b/>
          <w:bCs/>
        </w:rPr>
        <w:t>Existential constitution</w:t>
      </w:r>
      <w:r>
        <w:t xml:space="preserve"> refers to the way historical development of entities becomes constitutive of their fundamental identity or nature. An entity’s identity is not merely influenced by the past; it is formed through it (Bhaskar, 1993).</w:t>
      </w:r>
    </w:p>
    <w:p w14:paraId="3520CC92" w14:textId="7B4FB967" w:rsidR="00316A16" w:rsidRDefault="00AE0AA2" w:rsidP="00F44A56">
      <w:pPr>
        <w:pStyle w:val="Listenabsatz"/>
        <w:numPr>
          <w:ilvl w:val="0"/>
          <w:numId w:val="11"/>
        </w:numPr>
      </w:pPr>
      <w:r>
        <w:t>Cities are constituted by their historical development: trade routes, industrialization, migration patterns and urban planning. A port city differs from a former industrial city because of its historical formation (and present social patterns of course).</w:t>
      </w:r>
    </w:p>
    <w:p w14:paraId="2E5CC745" w14:textId="28AE47EA" w:rsidR="00316A16" w:rsidRPr="00585E0C" w:rsidRDefault="00316A16" w:rsidP="002253BB">
      <w:r>
        <w:t>This shows how perdurance and endurance are inseparable. Diachronic analysis explains how structures came to be; synchronic analysis examines how their present operates (Bhaskar, 1993).</w:t>
      </w:r>
    </w:p>
    <w:p w14:paraId="5B829308" w14:textId="7F4EB8EA" w:rsidR="001A52FD" w:rsidRPr="00585E0C" w:rsidRDefault="00316A16" w:rsidP="00DD630B">
      <w:pPr>
        <w:pStyle w:val="Heading3"/>
      </w:pPr>
      <w:r>
        <w:t>9.5.2 Co-Presence</w:t>
      </w:r>
    </w:p>
    <w:p w14:paraId="1DEC0549" w14:textId="3FAFD0CD" w:rsidR="00AE0AA2" w:rsidRDefault="00C163C3">
      <w:r>
        <w:rPr>
          <w:b/>
          <w:bCs/>
        </w:rPr>
        <w:t>Co-presence</w:t>
      </w:r>
      <w:r>
        <w:t xml:space="preserve"> describes how elements from different historical periods coexist within present arrangements. While each element still reflects the time period it comes from, multiple temporal layers can be present at the same time, in the same social setting, and operate together. Bhaskar calls this ‘</w:t>
      </w:r>
      <w:r>
        <w:rPr>
          <w:b/>
          <w:bCs/>
        </w:rPr>
        <w:t>differentially instantiated space-times</w:t>
      </w:r>
      <w:r>
        <w:t>’, it means that different parts of social reality can operate according to different historical rhythms and time scales (Bhaskar, 1993).</w:t>
      </w:r>
    </w:p>
    <w:p w14:paraId="29CD4F08" w14:textId="1C29442F" w:rsidR="00AE0AA2" w:rsidRDefault="00AE0AA2" w:rsidP="00DD630B">
      <w:pPr>
        <w:pStyle w:val="Listenabsatz"/>
        <w:numPr>
          <w:ilvl w:val="0"/>
          <w:numId w:val="11"/>
        </w:numPr>
      </w:pPr>
      <w:r>
        <w:lastRenderedPageBreak/>
        <w:t>In cities medieval street layouts, 19</w:t>
      </w:r>
      <w:r>
        <w:rPr>
          <w:vertAlign w:val="superscript"/>
        </w:rPr>
        <w:t>th</w:t>
      </w:r>
      <w:r>
        <w:t>-century factories, and modern skyscrapers may exist side by side. Each element maintains temporal characteristics, such as medieval spatial logic, industrial design or contemporary efficiency and finance. They coexist spatially and temporally in the present.</w:t>
      </w:r>
    </w:p>
    <w:p w14:paraId="41B8E027" w14:textId="35C291EA" w:rsidR="00686C6A" w:rsidRPr="00585E0C" w:rsidRDefault="00423FBE">
      <w:r>
        <w:t>This illustrates that the present is layered. Structures perdure through accumulated historical strata, yet they endure as concrete present configurations. Synchronic analysis must therefore recognize multiple temporal layers operating at once, while diachronic analysis explains how these layers accumulated (Bhaskar, 1993).</w:t>
      </w:r>
    </w:p>
    <w:p w14:paraId="764B47B0" w14:textId="67CE60D7" w:rsidR="001A52FD" w:rsidRPr="00585E0C" w:rsidRDefault="00686C6A" w:rsidP="00DD630B">
      <w:pPr>
        <w:pStyle w:val="Heading3"/>
      </w:pPr>
      <w:r>
        <w:t>9.5.3 Lagged Efficacy</w:t>
      </w:r>
    </w:p>
    <w:p w14:paraId="4281710D" w14:textId="0464886A" w:rsidR="00686C6A" w:rsidRDefault="00C163C3">
      <w:r>
        <w:rPr>
          <w:b/>
          <w:bCs/>
        </w:rPr>
        <w:t xml:space="preserve">Lagged efficacy </w:t>
      </w:r>
      <w:r>
        <w:t>refers to delayed causal effects. Past events can remain dormant, and manifest under specific conditions (creating effects in the present) (Bhaskar, 1993).</w:t>
      </w:r>
    </w:p>
    <w:p w14:paraId="74801E18" w14:textId="48C99B55" w:rsidR="00CD6E86" w:rsidRDefault="00CD6E86" w:rsidP="00DD630B">
      <w:pPr>
        <w:pStyle w:val="Listenabsatz"/>
        <w:numPr>
          <w:ilvl w:val="0"/>
          <w:numId w:val="11"/>
        </w:numPr>
      </w:pPr>
      <w:r>
        <w:t>A housing policy implemented decades ago, might only produce visible segregation when economic conditions change years later.</w:t>
      </w:r>
    </w:p>
    <w:p w14:paraId="3D11E23E" w14:textId="5ED724C4" w:rsidR="001A52FD" w:rsidRPr="00585E0C" w:rsidRDefault="00686C6A">
      <w:r>
        <w:t>This challenges regularity theories of causation: Effects do not always follow immediately from causes, nor do they appear in constant conjunction. Instead, causal powers operate as tendencies that may or may not be activated, depending on context. Lagged efficacy shows how diachronic analysis is necessary as seemingly present patterns might also be past causes operating through delayed mechanisms. Yet, their effects manifest in present moments, requiring synchronic analysis of how dormant causes become activated (Bhaskar, 1993).</w:t>
      </w:r>
    </w:p>
    <w:p w14:paraId="401672E2" w14:textId="460FAA39" w:rsidR="00CD6E86" w:rsidRDefault="00CD6E86" w:rsidP="00DD630B">
      <w:pPr>
        <w:pStyle w:val="Heading3"/>
      </w:pPr>
      <w:r>
        <w:t>9.5.4 Agentive Perspectivity</w:t>
      </w:r>
    </w:p>
    <w:p w14:paraId="109B83D8" w14:textId="2F3CD093" w:rsidR="00CD6E86" w:rsidRDefault="00C163C3">
      <w:r>
        <w:rPr>
          <w:b/>
          <w:bCs/>
        </w:rPr>
        <w:t>Agentive perspectivity</w:t>
      </w:r>
      <w:r>
        <w:t xml:space="preserve"> emphasizes that agents always act within pre-existing contexts. Individuals endure as present actors making choices – but they do so within historically formed structures that perdure across time. We never act in a neutral present; we act within historically shaped contexts (e.g., inherited institutions, norms and spatial arrangements) that enable and constrain certain possibilities (Bhaskar, 1993).</w:t>
      </w:r>
    </w:p>
    <w:p w14:paraId="0D1A94D6" w14:textId="01747205" w:rsidR="00021CE2" w:rsidRDefault="00021CE2" w:rsidP="00DD630B">
      <w:pPr>
        <w:pStyle w:val="Listenabsatz"/>
        <w:numPr>
          <w:ilvl w:val="0"/>
          <w:numId w:val="11"/>
        </w:numPr>
      </w:pPr>
      <w:r>
        <w:t>Residents of a city can (mostly) choose where to live, work or socialize. However, their choices are shaped by existing infrastructure, citizenship status, property markets, welfare institutions or policing regimes.</w:t>
      </w:r>
    </w:p>
    <w:p w14:paraId="191D49F7" w14:textId="593C6EFF" w:rsidR="00AD3092" w:rsidRPr="008E152A" w:rsidRDefault="00C163C3">
      <w:r>
        <w:t xml:space="preserve">Unlike other modes focusing on temporal structures, agentive perspectivity clarifies the structure-agency relation. Agency is real and conscious, but it is always exercised within conditions that were not chosen by the agent. This perspective is inescapable because we cannot step outside history to act in pure, unmediated present. Synchronic analysis of </w:t>
        <w:lastRenderedPageBreak/>
        <w:t>present action must therefore incorporate a diachronic recognition of temporal embeddedness (Bhaskar, 1993).</w:t>
      </w:r>
    </w:p>
    <w:p w14:paraId="7D6889BA" w14:textId="6475DFF3" w:rsidR="001A52FD" w:rsidRPr="00585E0C" w:rsidRDefault="00021CE2" w:rsidP="00DD630B">
      <w:pPr>
        <w:pStyle w:val="Heading3"/>
      </w:pPr>
      <w:r>
        <w:t>9.5.5 Overall Methodological Implications</w:t>
      </w:r>
    </w:p>
    <w:p w14:paraId="2C5C148C" w14:textId="6B19C623" w:rsidR="00771C6E" w:rsidRDefault="00C163C3">
      <w:r>
        <w:t>Together, these four modes demonstrate why meaningful social research cannot treat synchronic and diachronic approaches as competing methodologies. Synchronic analysis examines present relationships and configurations. Yet, these present arrangements are historically constituted (existential constitution), layered with elements from different time periods (co-presence), shaped by delayed causal effects (lagged efficacy), and inhabited by agents acting within inherited contexts (agentive perspectivity) (Archer, 1995; Porpora, 2015).</w:t>
      </w:r>
    </w:p>
    <w:p w14:paraId="1EB4842B" w14:textId="005D4063" w:rsidR="00F442C7" w:rsidRPr="00585E0C" w:rsidRDefault="00C163C3">
      <w:r>
        <w:t>Diachronic analysis traces how structures develop and accumulate over time. However, this historical development is not external to the present; it produces the very properties that operate synchronically. Structures perdure across time while also enduring as present configurations. Agents endure as present actors, yet they are constituted through biographical histories that extend across time (Archer, 1995; Porpora, 2015).</w:t>
      </w:r>
    </w:p>
    <w:p w14:paraId="6236F5A1" w14:textId="00D6BADC" w:rsidR="001A52FD" w:rsidRPr="00585E0C" w:rsidRDefault="00F442C7">
      <w:r>
        <w:t>Methodologically, this means that neither temporal approach alone is sufficient. Synchronic analysis without historical depth risks treating present configurations as self-contained. Diachronic analysis without attention to present operation risks reifying structures as detached from agency. Adequate explanation requires integrating both, analyzing both structural persistence (diachronic) and present action (synchronic) within a stratified ontology (Archer, 1995; Porpora, 2015).</w:t>
      </w:r>
    </w:p>
    <w:p w14:paraId="41F985E9" w14:textId="05E6DF74" w:rsidR="00F442C7" w:rsidRDefault="00C163C3">
      <w:r>
        <w:t>This framework also resolves tensions between the approaches to causality (see Chapter 2, section 2.3.) Reductionist models focus on present regularities but overlook how structures are historically constituted. Agent-focused approaches emphasize conscious experience but risk neglecting enduring structural conditions. Structuralist approaches, grounded in modal causality, show how causal powers endure as tendencies across time (while manifesting under specific conditions in the present). Social reality thus requires explanation at multiple levels – micro and macro, structure and agency.</w:t>
      </w:r>
    </w:p>
    <w:p w14:paraId="0119EE3B" w14:textId="679446EC" w:rsidR="00AD3092" w:rsidRPr="00797331" w:rsidRDefault="00F442C7">
      <w:r>
        <w:t xml:space="preserve">Bhaskar’s four modes therefore provide a powerful methodological orientation. It enables research capable of analyzing both structural persistence (requiring diachronic investigation) and present agency (requiring synchronic investigation) without reducing either to the other. The practical lesson is worth stating directly: when developing a research project, ask explicitly how the design handles these temporal questions. Bhaskar’s is not the only possible resolution of the problem, but its lessons must be taken seriously if social research is to be adequate. </w:t>
      </w:r>
    </w:p>
    <w:p>
      <w:pPr>
        <w:pStyle w:val="Heading2"/>
      </w:pPr>
      <w:r>
        <w:t>9.6 Making the Adequate Reduction</w:t>
      </w:r>
    </w:p>
    <w:p>
      <w:pPr/>
      <w:r>
        <w:t>Every research project operates on a bounded portion of social reality. The phenomenon under investigation extends in all directions: backward and forward in time, outward and inward in spatial scale, upward and downward across ontological levels, and laterally across the four debates. No investigation can address all of these dimensions simultaneously. The operation of reduction specifies which dimensions are within scope and which are temporarily bracketed, and it must be made on principled grounds rather than by default or convention.</w:t>
      </w:r>
    </w:p>
    <w:p>
      <w:pPr/>
      <w:r>
        <w:t>Adequate reduction requires that what is bracketed does not include what the investigation must be capable of reaching to address the research question. A reduction that brackets the temporal dimension in an investigation where mechanisms are cumulatively constituted across time produces findings that cannot reach what actually generates the phenomena. A reduction that brackets the collective level in an investigation where emergent properties are causally relevant produces findings that are adequate to a different ontological commitment than the researcher's own. The test of adequacy is not comprehensiveness but coherence: the scope of the investigation must be adequate to the depth in the trench at which the real mechanisms operate.</w:t>
      </w:r>
    </w:p>
    <w:p>
      <w:pPr/>
      <w:r>
        <w:t>Making the adequate reduction requires working through the research object from the four ontological debates, establishing where the mechanisms operate and at what levels, and then specifying the temporal and spatial scope required to access those mechanisms. A commitment to structural causation that operates over extended time sequences requires a temporal scope adequate to those sequences, even if that scope exceeds what is conventionally expected for a research project of a given kind. A commitment to conjunctural causation that operates in a specific relational configuration requires a spatial scope adequate to that configuration, even if that scope is smaller than the conventional scope of comparative research. The scope of the investigation is determined by the object, not by disciplinary convention or practical convenience, though the constraints of practical research set limits on what can be achieved in any given project.</w:t>
      </w:r>
    </w:p>
    <w:p>
      <w:pPr/>
      <w:r>
        <w:t>The operation of reduction also requires specifying what aspects of the object are being treated as given for the purposes of this investigation. A project that investigates how structural conditions shape outcomes in a particular conjuncture is not committed to treating those structural conditions as unanalysable: it is committing to treating them as given within the scope of this investigation while leaving open the question of how they were produced. Making this commitment explicit allows the researcher to account for it in the research design, to acknowledge what the investigation cannot establish, and to indicate what further investigation the findings call for.</w:t>
      </w:r>
    </w:p>
    <w:p>
      <w:pPr>
        <w:pStyle w:val="Heading2"/>
      </w:pPr>
      <w:r>
        <w:t>9.7 The Remaining Pieces of the Object</w:t>
      </w:r>
    </w:p>
    <w:p>
      <w:pPr/>
      <w:r>
        <w:t>The two spatial metaphors introduced in Chapter 4, the trench and the library stacks, return here as analytical tools for understanding what adequate reduction requires. The trench maps the structure of knowledge about a real phenomenon. At the empirical surface, many descriptions are plausible; at the depth, where generative mechanisms reside, far fewer answers are adequate. The researcher's reduction of the object must reach the depth at which the relevant mechanisms operate. Too shallow a reduction, one that stays at the empirical surface, produces analyses shaped by the wide range of plausible descriptions rather than by what is actually generating the patterns observed. The library stacks map the distribution of available knowledge across epistemological traditions. The researcher must navigate toward the sections adequate to the real object at the depth identified, not simply toward the sections most heavily populated or most familiar.</w:t>
      </w:r>
    </w:p>
    <w:p>
      <w:pPr/>
      <w:r>
        <w:t>The remaining pieces of the object are those aspects that lie outside the scope of the investigation as defined by the adequate reduction but that are causally relevant to what is within scope. Every bounded investigation leaves remainder: mechanisms that operate on what is being investigated but that originate outside the scope of analysis, temporal sequences that extend beyond the period under study, spatial extents that exceed the boundaries of the investigation. Acknowledging the remainder is not an admission of failure; it is a condition of intellectual honesty and a specification of what further investigation the findings point toward.</w:t>
      </w:r>
    </w:p>
    <w:p>
      <w:pPr/>
      <w:r>
        <w:t>The trench metaphor captures this. The researcher who reaches the depth required by the research question has established what the investigation can genuinely know about the mechanisms operating at that level. But the trench continues below: there are generating structures beneath what this investigation has reached, and there are mechanisms above that operate on the phenomena through pathways the investigation did not trace. The remainder is what the trench contains at depths and in directions outside the scope of the adequate reduction.</w:t>
      </w:r>
    </w:p>
    <w:p>
      <w:pPr/>
      <w:r>
        <w:t>The library stacks remain relevant here too. The content extracted from the existing literature during the research process corresponds to the sections of the library adequate to the depth and scope of this investigation. The remainder of the library, sections adequate to the mechanisms below the depth reached and to the temporal and spatial extents outside the scope, are not irrelevant: they constitute the context within which the investigation's findings are located and the direction in which further inquiry must travel.</w:t>
      </w:r>
    </w:p>
    <w:p>
      <w:pPr/>
      <w:r>
        <w:t>Chapter 10 addresses how to construct a research design that reaches the depth the trench requires and navigates the library stacks toward the sections adequate to the real object. The questions of adequate reduction and object specification established here are the foundations on which the design process builds.</w:t>
      </w:r>
    </w:p>
    <w:p>
      <w:pPr>
        <w:pStyle w:val="Heading2"/>
      </w:pPr>
      <w:r>
        <w:t>9.8 Conclusion: From Ontological Architecture to Research Design</w:t>
      </w:r>
    </w:p>
    <w:p>
      <w:pPr/>
      <w:r>
        <w:t>This chapter has extended the ontological architecture developed in Chapters 1 through 8 to the dimensions of time, space, and reduction. The ontology of time establishes that structures persist and mechanisms operate across temporal sequences that must be specified in the research design. The ontology of space establishes that social reality is differentially distributed across scales that determine what adequate comparison requires. Bhaskar's four modes of integrating synchronic and diachronic analysis provide a framework for addressing both dimensions together. The concept of adequate reduction ties these temporal and spatial dimensions to the ontological commitments established in the four debates, specifying what scope is adequate to what the investigation must reach.</w:t>
      </w:r>
    </w:p>
    <w:p>
      <w:pPr/>
      <w:r>
        <w:t>The remaining pieces of the object, those aspects that lie outside the adequate reduction while remaining causally relevant to what is within it, are not a deficiency of the investigation. They are what makes the investigation's findings interpretable: the context within which the mechanisms identified operate, and the direction in which inquiry must continue. Identifying the remainder is the final step in constituting the research object with the precision that genuine knowledge requires.</w:t>
      </w:r>
    </w:p>
    <w:p>
      <w:pPr/>
      <w:r>
        <w:t>Chapter 10 addresses the practical question that follows: given an object constituted through the four debates, the temporal and spatial dimensions, and the operation of adequate reduction, what must the researcher do to design an investigation capable of producing genuine knowledge about that object?</w:t>
      </w:r>
    </w:p>
    <w:p w14:paraId="109F4844" w14:textId="58CCE5EB" w:rsidR="001A52FD" w:rsidRPr="00585E0C" w:rsidRDefault="00C163C3" w:rsidP="00DD630B">
      <w:pPr>
        <w:pStyle w:val="Heading1"/>
      </w:pPr>
      <w:r>
        <w:lastRenderedPageBreak/>
        <w:t>References</w:t>
      </w:r>
    </w:p>
    <w:p w14:paraId="3853F147" w14:textId="479D54B8" w:rsidR="001A52FD" w:rsidRPr="00585E0C" w:rsidRDefault="00C163C3">
      <w:r>
        <w:t xml:space="preserve">Archer, M. S. (1995). </w:t>
      </w:r>
      <w:r>
        <w:rPr>
          <w:i/>
          <w:iCs/>
        </w:rPr>
        <w:t>Realist social theory: The morphogenetic approach</w:t>
      </w:r>
      <w:r>
        <w:t>. Cambridge University Press.</w:t>
      </w:r>
    </w:p>
    <w:p w14:paraId="6E1F9C67" w14:textId="79C7E358" w:rsidR="001A52FD" w:rsidRPr="00585E0C" w:rsidRDefault="00C163C3">
      <w:r>
        <w:t xml:space="preserve">Bhaskar, R. (1975). </w:t>
      </w:r>
      <w:r>
        <w:rPr>
          <w:i/>
          <w:iCs/>
        </w:rPr>
        <w:t>A realist theory of science</w:t>
      </w:r>
      <w:r>
        <w:t>. Leeds Books.</w:t>
      </w:r>
    </w:p>
    <w:p w14:paraId="5EB3EBB6" w14:textId="04699245" w:rsidR="001A52FD" w:rsidRPr="00585E0C" w:rsidRDefault="00C163C3">
      <w:r>
        <w:t xml:space="preserve">Bhaskar, R. (1979). </w:t>
      </w:r>
      <w:r>
        <w:rPr>
          <w:i/>
          <w:iCs/>
        </w:rPr>
        <w:t>The possibility of naturalism: A philosophical critique of the contemporary human sciences</w:t>
      </w:r>
      <w:r>
        <w:t>. Harvester Press.</w:t>
      </w:r>
    </w:p>
    <w:p w14:paraId="771AB562" w14:textId="611D18BD" w:rsidR="001A52FD" w:rsidRPr="00585E0C" w:rsidRDefault="00C163C3">
      <w:r>
        <w:t xml:space="preserve">Bhaskar, R. (1993). </w:t>
      </w:r>
      <w:r>
        <w:rPr>
          <w:i/>
          <w:iCs/>
        </w:rPr>
        <w:t>Dialectic: The pulse of freedom</w:t>
      </w:r>
      <w:r>
        <w:t>. Verso.</w:t>
      </w:r>
    </w:p>
    <w:p w14:paraId="535AE836" w14:textId="344AE2ED" w:rsidR="001A52FD" w:rsidRPr="00585E0C" w:rsidRDefault="00C163C3">
      <w:r>
        <w:t xml:space="preserve">Cohen, I. B. (1999). </w:t>
      </w:r>
      <w:r>
        <w:rPr>
          <w:i/>
          <w:iCs/>
        </w:rPr>
        <w:t>Introduction to Newton's Principia. In I. Newton, The Principia: Mathematical principles of natural philosophy</w:t>
      </w:r>
      <w:r>
        <w:t xml:space="preserve"> (I. B. Cohen &amp; A. Whitman, Trans., pp. 1-370). University of California Press. (Original work published 1687)</w:t>
      </w:r>
    </w:p>
    <w:p w14:paraId="34F73160" w14:textId="37F076E3" w:rsidR="001A52FD" w:rsidRPr="00585E0C" w:rsidRDefault="00C163C3">
      <w:r>
        <w:t xml:space="preserve">Coleman, J. S. (1990). </w:t>
      </w:r>
      <w:r>
        <w:rPr>
          <w:i/>
          <w:iCs/>
        </w:rPr>
        <w:t>Foundations of social theory</w:t>
      </w:r>
      <w:r>
        <w:t>. Harvard University Press.</w:t>
      </w:r>
    </w:p>
    <w:p w14:paraId="22266F71" w14:textId="1F0DC5AC" w:rsidR="001A52FD" w:rsidRPr="00216178" w:rsidRDefault="00C163C3">
      <w:pPr>
        <w:rPr>
          <w:lang w:val="de-AT"/>
        </w:rPr>
      </w:pPr>
      <w:r>
        <w:t xml:space="preserve">Collier, A. (1994). </w:t>
      </w:r>
      <w:r>
        <w:rPr>
          <w:i/>
          <w:iCs/>
        </w:rPr>
        <w:t>Critical realism: An introduction to Roy Bhaskar's philosophy</w:t>
      </w:r>
      <w:r>
        <w:t xml:space="preserve">. </w:t>
      </w:r>
      <w:r>
        <w:rPr>
          <w:lang w:val="de-AT"/>
        </w:rPr>
        <w:t>Verso.</w:t>
      </w:r>
    </w:p>
    <w:p w14:paraId="5D2DA0E9" w14:textId="6E651DD7" w:rsidR="001A52FD" w:rsidRPr="00585E0C" w:rsidRDefault="00C163C3">
      <w:r>
        <w:rPr>
          <w:lang w:val="de-AT"/>
        </w:rPr>
        <w:t xml:space="preserve">Danermark, B., Ekström, M., Jakobsen, L., &amp; Karlsson, J. C. (2002). </w:t>
      </w:r>
      <w:r>
        <w:rPr>
          <w:i/>
          <w:iCs/>
        </w:rPr>
        <w:t>Explaining society: Critical realism in the social sciences</w:t>
      </w:r>
      <w:r>
        <w:t>. Routledge.</w:t>
      </w:r>
    </w:p>
    <w:p>
      <w:r>
        <w:t xml:space="preserve">Corden, W. M., &amp; Neary, J. P. (1982). Booming sector and de-industrialisation in a small open economy. </w:t>
      </w:r>
      <w:r>
        <w:rPr>
          <w:i/>
          <w:iCs/>
        </w:rPr>
        <w:t xml:space="preserve">The Economic Journal</w:t>
      </w:r>
      <w:r>
        <w:t xml:space="preserve">, 92(368), 825–848.</w:t>
      </w:r>
    </w:p>
    <w:p w14:paraId="4C8C834F" w14:textId="3836B073" w:rsidR="001A52FD" w:rsidRPr="00585E0C" w:rsidRDefault="00C163C3">
      <w:r>
        <w:t xml:space="preserve">Descartes, R. (1996). </w:t>
      </w:r>
      <w:r>
        <w:rPr>
          <w:i/>
          <w:iCs/>
        </w:rPr>
        <w:t>Meditations on first philosophy</w:t>
      </w:r>
      <w:r>
        <w:t xml:space="preserve"> (J. Cottingham, Trans.). Cambridge University Press. (Original work published 1641)</w:t>
      </w:r>
    </w:p>
    <w:p w14:paraId="346546B9" w14:textId="251C0279" w:rsidR="001A52FD" w:rsidRPr="00585E0C" w:rsidRDefault="00C163C3">
      <w:r>
        <w:t xml:space="preserve">Elder-Vass, D. (2010). </w:t>
      </w:r>
      <w:r>
        <w:rPr>
          <w:i/>
          <w:iCs/>
        </w:rPr>
        <w:t>The causal power of social structures: Emergence, structure and agency</w:t>
      </w:r>
      <w:r>
        <w:t>. Cambridge University Press.</w:t>
      </w:r>
    </w:p>
    <w:p w14:paraId="20E9D9DF" w14:textId="3E979581" w:rsidR="001A52FD" w:rsidRPr="00585E0C" w:rsidRDefault="00C163C3">
      <w:r>
        <w:t xml:space="preserve">Emirbayer, M., &amp; Mische, A. (1998). </w:t>
      </w:r>
      <w:r>
        <w:rPr>
          <w:i/>
          <w:iCs/>
        </w:rPr>
        <w:t>What is agency?</w:t>
      </w:r>
      <w:r>
        <w:t xml:space="preserve"> American Journal of Sociology, 103(4), 962-1023.</w:t>
      </w:r>
    </w:p>
    <w:p w14:paraId="374472A9" w14:textId="584F3C85" w:rsidR="001A52FD" w:rsidRPr="00585E0C" w:rsidRDefault="00C163C3">
      <w:r>
        <w:t xml:space="preserve">Giddens, A. (1984). </w:t>
      </w:r>
      <w:r>
        <w:rPr>
          <w:i/>
          <w:iCs/>
        </w:rPr>
        <w:t>The constitution of society: Outline of the theory of structuration</w:t>
      </w:r>
      <w:r>
        <w:t>. University of California Press.</w:t>
      </w:r>
    </w:p>
    <w:p w14:paraId="1C6D1746" w14:textId="72D19F2B" w:rsidR="001A52FD" w:rsidRPr="00585E0C" w:rsidRDefault="00C163C3">
      <w:r>
        <w:t xml:space="preserve">Guyer, P. (2006). </w:t>
      </w:r>
      <w:r>
        <w:rPr>
          <w:i/>
          <w:iCs/>
        </w:rPr>
        <w:t>Kant</w:t>
      </w:r>
      <w:r>
        <w:t>. Routledge.</w:t>
      </w:r>
    </w:p>
    <w:p w14:paraId="6BF30BB2" w14:textId="6ED42131" w:rsidR="001A52FD" w:rsidRPr="00585E0C" w:rsidRDefault="00C163C3">
      <w:r>
        <w:t xml:space="preserve">Hedström, P., &amp; Swedberg, R. (Eds.). (1998). </w:t>
      </w:r>
      <w:r>
        <w:rPr>
          <w:i/>
          <w:iCs/>
        </w:rPr>
        <w:t>Social mechanisms: An analytical approach to social theory</w:t>
      </w:r>
      <w:r>
        <w:t>. Cambridge University Press.</w:t>
      </w:r>
    </w:p>
    <w:p w14:paraId="407727D0" w14:textId="5B0A3648" w:rsidR="001A52FD" w:rsidRPr="00585E0C" w:rsidRDefault="00C163C3">
      <w:r>
        <w:t xml:space="preserve">Hempel, C. G. (1965). </w:t>
      </w:r>
      <w:r>
        <w:rPr>
          <w:i/>
          <w:iCs/>
        </w:rPr>
        <w:t>Aspects of scientific explanation and other essays in the philosophy of science</w:t>
      </w:r>
      <w:r>
        <w:t>. Free Press.</w:t>
      </w:r>
    </w:p>
    <w:p w14:paraId="333339F1" w14:textId="31D14E23" w:rsidR="001A52FD" w:rsidRPr="00585E0C" w:rsidRDefault="00C163C3">
      <w:r>
        <w:t xml:space="preserve">Hume, D. (2000). </w:t>
      </w:r>
      <w:r>
        <w:rPr>
          <w:i/>
          <w:iCs/>
        </w:rPr>
        <w:t>An enquiry concerning human understanding</w:t>
      </w:r>
      <w:r>
        <w:t xml:space="preserve"> (T. L. Beauchamp, Ed.). Oxford University Press. (Original work published 1748)</w:t>
      </w:r>
    </w:p>
    <w:p w14:paraId="4A7AB9E8" w14:textId="45AF505C" w:rsidR="001A52FD" w:rsidRPr="00585E0C" w:rsidRDefault="00C163C3">
      <w:r>
        <w:lastRenderedPageBreak/>
        <w:t xml:space="preserve">Kant, I. (1998). </w:t>
      </w:r>
      <w:r>
        <w:rPr>
          <w:i/>
          <w:iCs/>
        </w:rPr>
        <w:t>Critique of pure reason</w:t>
      </w:r>
      <w:r>
        <w:t xml:space="preserve"> (P. Guyer &amp; A. W. Wood, Trans.). Cambridge University Press. (Original work published 1781)</w:t>
      </w:r>
    </w:p>
    <w:p w14:paraId="29EA309D" w14:textId="71AAA360" w:rsidR="001A52FD" w:rsidRPr="00585E0C" w:rsidRDefault="00C163C3">
      <w:r>
        <w:t xml:space="preserve">Lawson, T. (1997). </w:t>
      </w:r>
      <w:r>
        <w:rPr>
          <w:i/>
          <w:iCs/>
        </w:rPr>
        <w:t>Economics and reality</w:t>
      </w:r>
      <w:r>
        <w:t>. Routledge.</w:t>
      </w:r>
    </w:p>
    <w:p w14:paraId="7B84D816" w14:textId="3A4A7E6E" w:rsidR="001A52FD" w:rsidRPr="00585E0C" w:rsidRDefault="00C163C3">
      <w:r>
        <w:t xml:space="preserve">Leibniz, G. W. (1956). </w:t>
      </w:r>
      <w:r>
        <w:rPr>
          <w:i/>
          <w:iCs/>
        </w:rPr>
        <w:t xml:space="preserve">The Leibniz-Clarke correspondence </w:t>
      </w:r>
      <w:r>
        <w:t>(H. G. Alexander, Ed.). Manchester University Press. (Original work published 1715-1716)</w:t>
      </w:r>
    </w:p>
    <w:p>
      <w:r>
        <w:t xml:space="preserve">Mahoney, J., &amp; Thelen, K. (Eds.). (2010). </w:t>
      </w:r>
      <w:r>
        <w:rPr>
          <w:i/>
          <w:iCs/>
        </w:rPr>
        <w:t xml:space="preserve">Explaining institutional change: Ambiguity, agency, and power</w:t>
      </w:r>
      <w:r>
        <w:t xml:space="preserve">. Cambridge University Press.</w:t>
      </w:r>
    </w:p>
    <w:p w14:paraId="13131812" w14:textId="56E112A8" w:rsidR="001A52FD" w:rsidRPr="00585E0C" w:rsidRDefault="00C163C3">
      <w:r>
        <w:t xml:space="preserve">Mackie, J. L. (1974). </w:t>
      </w:r>
      <w:r>
        <w:rPr>
          <w:i/>
          <w:iCs/>
        </w:rPr>
        <w:t>The cement of the universe: A study of causation.</w:t>
      </w:r>
      <w:r>
        <w:t xml:space="preserve"> Oxford University Press.</w:t>
      </w:r>
    </w:p>
    <w:p w14:paraId="34B8A308" w14:textId="1395A8ED" w:rsidR="001A52FD" w:rsidRPr="00585E0C" w:rsidRDefault="00C163C3">
      <w:r>
        <w:t xml:space="preserve">Massey, D. (1993). Power-geometry and a progressive sense of place. In J. Bird, B. Curtis, T. Putnam, G. Robertson, &amp; L. Tickner (Eds.), </w:t>
      </w:r>
      <w:r>
        <w:rPr>
          <w:i/>
          <w:iCs/>
        </w:rPr>
        <w:t>Mapping the futures: Local cultures, global change</w:t>
      </w:r>
      <w:r>
        <w:t xml:space="preserve"> (pp. 59-69). Routledge.</w:t>
      </w:r>
    </w:p>
    <w:p w14:paraId="533617C7" w14:textId="6F7E432B" w:rsidR="001A52FD" w:rsidRPr="00585E0C" w:rsidRDefault="00C163C3">
      <w:r>
        <w:t xml:space="preserve">McTaggart, J. M. E. (1908). </w:t>
      </w:r>
      <w:r>
        <w:rPr>
          <w:i/>
          <w:iCs/>
        </w:rPr>
        <w:t>The unreality of time</w:t>
      </w:r>
      <w:r>
        <w:t>. Mind, 17(68), 457-474.</w:t>
      </w:r>
    </w:p>
    <w:p w14:paraId="40282B83" w14:textId="59E3B5DE" w:rsidR="001A52FD" w:rsidRPr="00585E0C" w:rsidRDefault="00C163C3">
      <w:r>
        <w:t xml:space="preserve">Newton, I. (1999). </w:t>
      </w:r>
      <w:r>
        <w:rPr>
          <w:i/>
          <w:iCs/>
        </w:rPr>
        <w:t>The Principia: Mathematical principles of natural philosophy</w:t>
      </w:r>
      <w:r>
        <w:t xml:space="preserve"> (I. B. Cohen &amp; A. Whitman, Trans.). University of California Press. (Original work published 1687)</w:t>
      </w:r>
    </w:p>
    <w:p w14:paraId="619D805A" w14:textId="0FC4D90C" w:rsidR="001A52FD" w:rsidRPr="00585E0C" w:rsidRDefault="00C163C3">
      <w:r>
        <w:t xml:space="preserve">Pierson, P. (2004). </w:t>
      </w:r>
      <w:r>
        <w:rPr>
          <w:i/>
          <w:iCs/>
        </w:rPr>
        <w:t>Politics in time: History, institutions, and social analysis</w:t>
      </w:r>
      <w:r>
        <w:t>. Princeton University Press.</w:t>
      </w:r>
    </w:p>
    <w:p w14:paraId="49946C73" w14:textId="0DC75B35" w:rsidR="001A52FD" w:rsidRPr="00585E0C" w:rsidRDefault="00C163C3">
      <w:r>
        <w:t xml:space="preserve">Porpora, D. V. (2015). </w:t>
      </w:r>
      <w:r>
        <w:rPr>
          <w:i/>
          <w:iCs/>
        </w:rPr>
        <w:t>Reconstructing sociology: The critical realist approach</w:t>
      </w:r>
      <w:r>
        <w:t>. Cambridge University Press.</w:t>
      </w:r>
    </w:p>
    <w:p>
      <w:r>
        <w:t xml:space="preserve">Ross, M. L. (1999). The political economy of the resource curse. </w:t>
      </w:r>
      <w:r>
        <w:rPr>
          <w:i/>
          <w:iCs/>
        </w:rPr>
        <w:t xml:space="preserve">World Politics</w:t>
      </w:r>
      <w:r>
        <w:t xml:space="preserve">, 51(2), 297–322.</w:t>
      </w:r>
    </w:p>
    <w:p w14:paraId="58A5F561" w14:textId="3402BC6C" w:rsidR="001A52FD" w:rsidRPr="00585E0C" w:rsidRDefault="00C163C3">
      <w:r>
        <w:t xml:space="preserve">Sayer, A. (2000). </w:t>
      </w:r>
      <w:r>
        <w:rPr>
          <w:i/>
          <w:iCs/>
        </w:rPr>
        <w:t>Realism and social science</w:t>
      </w:r>
      <w:r>
        <w:t>. Sage.</w:t>
      </w:r>
    </w:p>
    <w:p w14:paraId="740AB516" w14:textId="68034F9A" w:rsidR="001A52FD" w:rsidRPr="00585E0C" w:rsidRDefault="00C163C3">
      <w:r>
        <w:t xml:space="preserve">Schutz, A. (1967). </w:t>
      </w:r>
      <w:r>
        <w:rPr>
          <w:i/>
          <w:iCs/>
        </w:rPr>
        <w:t>The phenomenology of the social world</w:t>
      </w:r>
      <w:r>
        <w:t xml:space="preserve"> (G. Walsh &amp; F. Lehnert, Trans.). Northwestern University Press.</w:t>
      </w:r>
    </w:p>
    <w:p w14:paraId="65F5BB16" w14:textId="6211B503" w:rsidR="001A52FD" w:rsidRPr="00585E0C" w:rsidRDefault="00C163C3">
      <w:r>
        <w:t>Schwandt, T. A. (2000</w:t>
      </w:r>
      <w:r>
        <w:rPr>
          <w:i/>
          <w:iCs/>
        </w:rPr>
        <w:t>). Three epistemological stances for qualitative inquiry: Interpretivism, hermeneutics, and social constructionism</w:t>
      </w:r>
      <w:r>
        <w:t>. In N. K. Denzin &amp; Y. S. Lincoln (Eds.), Handbook of qualitative research (2nd ed., pp. 189-213). Sage.</w:t>
      </w:r>
    </w:p>
    <w:p w14:paraId="586968CB" w14:textId="5C5A2DC6" w:rsidR="001A52FD" w:rsidRPr="00585E0C" w:rsidRDefault="00C163C3">
      <w:r>
        <w:t xml:space="preserve">Sider, T. (2001). </w:t>
      </w:r>
      <w:r>
        <w:rPr>
          <w:i/>
          <w:iCs/>
        </w:rPr>
        <w:t>Four-dimensionalism: An ontology of persistence and ti</w:t>
      </w:r>
      <w:r>
        <w:t>me. Oxford University Press.</w:t>
      </w:r>
    </w:p>
    <w:p w14:paraId="3C2253F7" w14:textId="0A9ADE2C" w:rsidR="001A52FD" w:rsidRPr="00585E0C" w:rsidRDefault="00C163C3">
      <w:r>
        <w:t xml:space="preserve">Stroud, B. (1977). </w:t>
      </w:r>
      <w:r>
        <w:rPr>
          <w:i/>
          <w:iCs/>
        </w:rPr>
        <w:t>Hume</w:t>
      </w:r>
      <w:r>
        <w:t>. Routledge.</w:t>
      </w:r>
    </w:p>
    <w:p w14:paraId="5C905A7F" w14:textId="7249FE45" w:rsidR="001A52FD" w:rsidRPr="00585E0C" w:rsidRDefault="00C163C3">
      <w:r>
        <w:t xml:space="preserve">Weber, M. (1978). </w:t>
      </w:r>
      <w:r>
        <w:rPr>
          <w:i/>
          <w:iCs/>
        </w:rPr>
        <w:t>Economy and society: An outline of interpretive sociology</w:t>
      </w:r>
      <w:r>
        <w:t xml:space="preserve"> (G. Roth &amp; C. Wittich, Eds.). University of California Press. (Original work published 1922)</w:t>
      </w:r>
    </w:p>
    <w:sectPr w:rsidR="001A52FD" w:rsidRPr="00585E0C"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9DA8" w14:textId="77777777" w:rsidR="00E83EB1" w:rsidRDefault="00E83EB1" w:rsidP="00A323A6">
      <w:pPr>
        <w:spacing w:after="0" w:line="240" w:lineRule="auto"/>
      </w:pPr>
      <w:r>
        <w:separator/>
      </w:r>
    </w:p>
  </w:endnote>
  <w:endnote w:type="continuationSeparator" w:id="0">
    <w:p w14:paraId="07FB5CB1" w14:textId="77777777" w:rsidR="00E83EB1" w:rsidRDefault="00E83EB1" w:rsidP="00A323A6">
      <w:pPr>
        <w:spacing w:after="0" w:line="240" w:lineRule="auto"/>
      </w:pPr>
      <w:r>
        <w:continuationSeparator/>
      </w:r>
    </w:p>
  </w:endnote>
  <w:endnote w:type="continuationNotice" w:id="1">
    <w:p w14:paraId="4849BC65" w14:textId="77777777" w:rsidR="00E83EB1" w:rsidRDefault="00E83E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602335944"/>
      <w:docPartObj>
        <w:docPartGallery w:val="Page Numbers (Bottom of Page)"/>
        <w:docPartUnique/>
      </w:docPartObj>
    </w:sdtPr>
    <w:sdtContent>
      <w:p w14:paraId="2FCF7924" w14:textId="20F4F9D4" w:rsidR="00EF16DF" w:rsidRDefault="00EF16DF" w:rsidP="003009F8">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4F255BA" w14:textId="77777777" w:rsidR="00EF16DF" w:rsidRDefault="00EF16DF" w:rsidP="00EF16DF">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773FD" w14:textId="77777777" w:rsidR="00E83EB1" w:rsidRDefault="00E83EB1" w:rsidP="00A323A6">
      <w:pPr>
        <w:spacing w:after="0" w:line="240" w:lineRule="auto"/>
      </w:pPr>
      <w:r>
        <w:separator/>
      </w:r>
    </w:p>
  </w:footnote>
  <w:footnote w:type="continuationSeparator" w:id="0">
    <w:p w14:paraId="0528138D" w14:textId="77777777" w:rsidR="00E83EB1" w:rsidRDefault="00E83EB1" w:rsidP="00A323A6">
      <w:pPr>
        <w:spacing w:after="0" w:line="240" w:lineRule="auto"/>
      </w:pPr>
      <w:r>
        <w:continuationSeparator/>
      </w:r>
    </w:p>
  </w:footnote>
  <w:footnote w:type="continuationNotice" w:id="1">
    <w:p w14:paraId="499BA864" w14:textId="77777777" w:rsidR="00E83EB1" w:rsidRDefault="00E83EB1">
      <w:pPr>
        <w:spacing w:after="0" w:line="240" w:lineRule="auto"/>
      </w:pPr>
    </w:p>
  </w:footnote>
  <w:footnote w:id="2">
    <w:p w14:paraId="22ABE35A" w14:textId="4B3209FD" w:rsidR="00A323A6" w:rsidRPr="00A9319D" w:rsidRDefault="00A323A6">
      <w:pPr>
        <w:pStyle w:val="FootnoteText"/>
        <w:rPr>
          <w:lang w:val="en-CA"/>
        </w:rPr>
      </w:pPr>
      <w:r w:rsidRPr="00A9319D">
        <w:rPr>
          <w:rStyle w:val="FootnoteReference"/>
          <w:lang w:val="en-CA"/>
        </w:rPr>
        <w:footnoteRef/>
      </w:r>
      <w:r w:rsidRPr="00A9319D">
        <w:rPr>
          <w:lang w:val="en-CA"/>
        </w:rPr>
        <w:t xml:space="preserve"> </w:t>
      </w:r>
      <w:r w:rsidR="00B87D4B">
        <w:rPr>
          <w:lang w:val="en-CA"/>
        </w:rPr>
        <w:t xml:space="preserve">Substantial editing for this chapter was provided by </w:t>
      </w:r>
      <w:r w:rsidR="00A9319D" w:rsidRPr="00A9319D">
        <w:rPr>
          <w:lang w:val="en-CA"/>
        </w:rPr>
        <w:t>Elise Wester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118A"/>
    <w:multiLevelType w:val="hybridMultilevel"/>
    <w:tmpl w:val="0786FA3C"/>
    <w:lvl w:ilvl="0" w:tplc="8AD816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6682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2EF4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0680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DEC7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A427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AE7C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6C43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E4FB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2035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7F7"/>
    <w:rsid w:val="00023467"/>
    <w:rsid w:val="00060B33"/>
    <w:rsid w:val="000C2CE7"/>
    <w:rsid w:val="000C5140"/>
    <w:rsid w:val="000F674D"/>
    <w:rsid w:val="001477CA"/>
    <w:rsid w:val="00154C57"/>
    <w:rsid w:val="0016741B"/>
    <w:rsid w:val="001A4B1A"/>
    <w:rsid w:val="001B40A4"/>
    <w:rsid w:val="00211EDD"/>
    <w:rsid w:val="00273F36"/>
    <w:rsid w:val="00294BFF"/>
    <w:rsid w:val="002D2B00"/>
    <w:rsid w:val="002E2454"/>
    <w:rsid w:val="002F6A08"/>
    <w:rsid w:val="00305839"/>
    <w:rsid w:val="003151D6"/>
    <w:rsid w:val="00320296"/>
    <w:rsid w:val="0032191E"/>
    <w:rsid w:val="00334434"/>
    <w:rsid w:val="0033549F"/>
    <w:rsid w:val="00341459"/>
    <w:rsid w:val="00342576"/>
    <w:rsid w:val="0034618E"/>
    <w:rsid w:val="003541A3"/>
    <w:rsid w:val="00393A4A"/>
    <w:rsid w:val="003B54E0"/>
    <w:rsid w:val="003F6348"/>
    <w:rsid w:val="00444CF2"/>
    <w:rsid w:val="00462A5F"/>
    <w:rsid w:val="004649CA"/>
    <w:rsid w:val="00497412"/>
    <w:rsid w:val="004A6429"/>
    <w:rsid w:val="004F0D4D"/>
    <w:rsid w:val="004F245C"/>
    <w:rsid w:val="005502FC"/>
    <w:rsid w:val="00555E3C"/>
    <w:rsid w:val="005659E4"/>
    <w:rsid w:val="00570041"/>
    <w:rsid w:val="005A14FE"/>
    <w:rsid w:val="005C4957"/>
    <w:rsid w:val="005D20A9"/>
    <w:rsid w:val="005D3640"/>
    <w:rsid w:val="005F7A08"/>
    <w:rsid w:val="00627D6D"/>
    <w:rsid w:val="006463C2"/>
    <w:rsid w:val="0066200F"/>
    <w:rsid w:val="00676B1B"/>
    <w:rsid w:val="00694DE6"/>
    <w:rsid w:val="006A4158"/>
    <w:rsid w:val="006A6770"/>
    <w:rsid w:val="006B1342"/>
    <w:rsid w:val="006B34B3"/>
    <w:rsid w:val="006C14D7"/>
    <w:rsid w:val="006D4A6B"/>
    <w:rsid w:val="006E5C9F"/>
    <w:rsid w:val="006F0542"/>
    <w:rsid w:val="006F2C45"/>
    <w:rsid w:val="006F480B"/>
    <w:rsid w:val="006F77F7"/>
    <w:rsid w:val="00701D75"/>
    <w:rsid w:val="00705281"/>
    <w:rsid w:val="00705E6E"/>
    <w:rsid w:val="007134B7"/>
    <w:rsid w:val="00743BA0"/>
    <w:rsid w:val="007662FA"/>
    <w:rsid w:val="00774290"/>
    <w:rsid w:val="007A15AB"/>
    <w:rsid w:val="00877DC4"/>
    <w:rsid w:val="008E5DB0"/>
    <w:rsid w:val="008F024D"/>
    <w:rsid w:val="008F2200"/>
    <w:rsid w:val="00914D90"/>
    <w:rsid w:val="00920C8D"/>
    <w:rsid w:val="009231D7"/>
    <w:rsid w:val="0092768F"/>
    <w:rsid w:val="00960E39"/>
    <w:rsid w:val="009A4A7D"/>
    <w:rsid w:val="009E1E46"/>
    <w:rsid w:val="00A1454E"/>
    <w:rsid w:val="00A20AA3"/>
    <w:rsid w:val="00A323A6"/>
    <w:rsid w:val="00A71432"/>
    <w:rsid w:val="00A9319D"/>
    <w:rsid w:val="00A935BE"/>
    <w:rsid w:val="00AA7A27"/>
    <w:rsid w:val="00AC2007"/>
    <w:rsid w:val="00B64354"/>
    <w:rsid w:val="00B87D4B"/>
    <w:rsid w:val="00BB414F"/>
    <w:rsid w:val="00BB6CB2"/>
    <w:rsid w:val="00C15FAE"/>
    <w:rsid w:val="00C52464"/>
    <w:rsid w:val="00C57612"/>
    <w:rsid w:val="00C80619"/>
    <w:rsid w:val="00C83140"/>
    <w:rsid w:val="00CA334C"/>
    <w:rsid w:val="00CA6424"/>
    <w:rsid w:val="00CE0E1A"/>
    <w:rsid w:val="00D37F9C"/>
    <w:rsid w:val="00D45FF9"/>
    <w:rsid w:val="00D86AF9"/>
    <w:rsid w:val="00E00C66"/>
    <w:rsid w:val="00E324E5"/>
    <w:rsid w:val="00E329CC"/>
    <w:rsid w:val="00E32C89"/>
    <w:rsid w:val="00E45104"/>
    <w:rsid w:val="00E45531"/>
    <w:rsid w:val="00E7074B"/>
    <w:rsid w:val="00E70CDB"/>
    <w:rsid w:val="00E83EB1"/>
    <w:rsid w:val="00E85310"/>
    <w:rsid w:val="00E96EEA"/>
    <w:rsid w:val="00EC05D2"/>
    <w:rsid w:val="00EC69CC"/>
    <w:rsid w:val="00ED7BB7"/>
    <w:rsid w:val="00EF0B5A"/>
    <w:rsid w:val="00EF1107"/>
    <w:rsid w:val="00EF5DF5"/>
    <w:rsid w:val="00F013AD"/>
    <w:rsid w:val="00F21042"/>
    <w:rsid w:val="00F246E8"/>
    <w:rsid w:val="00F51C71"/>
    <w:rsid w:val="00F61D78"/>
    <w:rsid w:val="00FB2C27"/>
    <w:rsid w:val="00FB6DDC"/>
    <w:rsid w:val="00FC0BC8"/>
    <w:rsid w:val="00FC6B6A"/>
    <w:rsid w:val="00FC7369"/>
    <w:rsid w:val="00FE219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3E61B8AB"/>
  <w15:docId w15:val="{E6D3B4F0-4525-5A49-AF75-E7A72C40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7" w:lineRule="auto"/>
      <w:ind w:left="10" w:hanging="10"/>
    </w:pPr>
    <w:rPr>
      <w:rFonts w:ascii="Times New Roman" w:eastAsia="Times New Roman" w:hAnsi="Times New Roman" w:cs="Times New Roman"/>
      <w:color w:val="000000"/>
      <w:lang w:val="nl-NL" w:eastAsia="nl-NL" w:bidi="nl-NL"/>
    </w:rPr>
  </w:style>
  <w:style w:type="paragraph" w:styleId="Heading1">
    <w:name w:val="heading 1"/>
    <w:next w:val="Normal"/>
    <w:link w:val="Heading1Char"/>
    <w:uiPriority w:val="9"/>
    <w:qFormat/>
    <w:pPr>
      <w:keepNext/>
      <w:keepLines/>
      <w:spacing w:after="448" w:line="275" w:lineRule="auto"/>
      <w:ind w:left="10" w:hanging="10"/>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spacing w:after="458" w:line="265" w:lineRule="auto"/>
      <w:ind w:left="10"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40"/>
    </w:rPr>
  </w:style>
  <w:style w:type="paragraph" w:styleId="FootnoteText">
    <w:name w:val="footnote text"/>
    <w:basedOn w:val="Normal"/>
    <w:link w:val="FootnoteTextChar"/>
    <w:uiPriority w:val="99"/>
    <w:semiHidden/>
    <w:unhideWhenUsed/>
    <w:rsid w:val="00A323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23A6"/>
    <w:rPr>
      <w:rFonts w:ascii="Times New Roman" w:eastAsia="Times New Roman" w:hAnsi="Times New Roman" w:cs="Times New Roman"/>
      <w:color w:val="000000"/>
      <w:sz w:val="20"/>
      <w:szCs w:val="20"/>
      <w:lang w:val="nl-NL" w:eastAsia="nl-NL" w:bidi="nl-NL"/>
    </w:rPr>
  </w:style>
  <w:style w:type="character" w:styleId="FootnoteReference">
    <w:name w:val="footnote reference"/>
    <w:basedOn w:val="DefaultParagraphFont"/>
    <w:uiPriority w:val="99"/>
    <w:semiHidden/>
    <w:unhideWhenUsed/>
    <w:rsid w:val="00A323A6"/>
    <w:rPr>
      <w:vertAlign w:val="superscript"/>
    </w:rPr>
  </w:style>
  <w:style w:type="paragraph" w:styleId="Header">
    <w:name w:val="header"/>
    <w:basedOn w:val="Normal"/>
    <w:link w:val="HeaderChar"/>
    <w:uiPriority w:val="99"/>
    <w:semiHidden/>
    <w:unhideWhenUsed/>
    <w:rsid w:val="005659E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5659E4"/>
    <w:rPr>
      <w:rFonts w:ascii="Times New Roman" w:eastAsia="Times New Roman" w:hAnsi="Times New Roman" w:cs="Times New Roman"/>
      <w:color w:val="000000"/>
      <w:lang w:val="nl-NL" w:eastAsia="nl-NL" w:bidi="nl-NL"/>
    </w:rPr>
  </w:style>
  <w:style w:type="paragraph" w:styleId="Footer">
    <w:name w:val="footer"/>
    <w:basedOn w:val="Normal"/>
    <w:link w:val="FooterChar"/>
    <w:uiPriority w:val="99"/>
    <w:semiHidden/>
    <w:unhideWhenUsed/>
    <w:rsid w:val="005659E4"/>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5659E4"/>
    <w:rPr>
      <w:rFonts w:ascii="Times New Roman" w:eastAsia="Times New Roman" w:hAnsi="Times New Roman" w:cs="Times New Roman"/>
      <w:color w:val="000000"/>
      <w:lang w:val="nl-NL" w:eastAsia="nl-NL" w:bidi="nl-NL"/>
    </w:rPr>
  </w:style>
  <w:style w:type="paragraph" w:customStyle="1" w:styleId="font-claude-response-body">
    <w:name w:val="font-claude-response-body"/>
    <w:basedOn w:val="Normal"/>
    <w:rsid w:val="009231D7"/>
    <w:pPr>
      <w:spacing w:before="100" w:beforeAutospacing="1" w:after="100" w:afterAutospacing="1" w:line="240" w:lineRule="auto"/>
      <w:ind w:left="0" w:firstLine="0"/>
    </w:pPr>
    <w:rPr>
      <w:color w:val="auto"/>
      <w:kern w:val="0"/>
      <w:lang w:val="en-CA" w:eastAsia="en-US" w:bidi="ar-SA"/>
      <w14:ligatures w14:val="none"/>
    </w:rPr>
  </w:style>
  <w:style w:type="character" w:styleId="Emphasis">
    <w:name w:val="Emphasis"/>
    <w:basedOn w:val="DefaultParagraphFont"/>
    <w:uiPriority w:val="20"/>
    <w:qFormat/>
    <w:rsid w:val="006B13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10187</Words>
  <Characters>58067</Characters>
  <Application>Microsoft Office Word</Application>
  <DocSecurity>0</DocSecurity>
  <Lines>483</Lines>
  <Paragraphs>136</Paragraphs>
  <ScaleCrop>false</ScaleCrop>
  <Company/>
  <LinksUpToDate>false</LinksUpToDate>
  <CharactersWithSpaces>68118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Wester</dc:creator>
  <cp:keywords/>
  <cp:lastModifiedBy>Brandon Sommer</cp:lastModifiedBy>
  <cp:revision>59</cp:revision>
  <dcterms:created xsi:type="dcterms:W3CDTF">2026-03-11T07:47:00Z</dcterms:created>
  <dcterms:modified xsi:type="dcterms:W3CDTF">2026-03-27T09:22:00Z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9e255e7998c80ebb047adad9598bf476c37c91a565e7cf1281f481901c4c1a21</vt:lpwstr>
  </property>
  <property fmtid="{D5CDD505-2E9C-101B-9397-08002B2CF9AE}" pid="3" name="MSIP_Label_8772ba27-cab8-4042-a351-a31f6e4eacdc_Enabled">
    <vt:lpwstr>true</vt:lpwstr>
  </property>
  <property fmtid="{D5CDD505-2E9C-101B-9397-08002B2CF9AE}" pid="4" name="MSIP_Label_8772ba27-cab8-4042-a351-a31f6e4eacdc_SetDate">
    <vt:lpwstr>2026-03-11T08:46:08Z</vt:lpwstr>
  </property>
  <property fmtid="{D5CDD505-2E9C-101B-9397-08002B2CF9AE}" pid="5" name="MSIP_Label_8772ba27-cab8-4042-a351-a31f6e4eacdc_Method">
    <vt:lpwstr>Standard</vt:lpwstr>
  </property>
  <property fmtid="{D5CDD505-2E9C-101B-9397-08002B2CF9AE}" pid="6" name="MSIP_Label_8772ba27-cab8-4042-a351-a31f6e4eacdc_Name">
    <vt:lpwstr>Internal</vt:lpwstr>
  </property>
  <property fmtid="{D5CDD505-2E9C-101B-9397-08002B2CF9AE}" pid="7" name="MSIP_Label_8772ba27-cab8-4042-a351-a31f6e4eacdc_SiteId">
    <vt:lpwstr>715902d6-f63e-4b8d-929b-4bb170bad492</vt:lpwstr>
  </property>
  <property fmtid="{D5CDD505-2E9C-101B-9397-08002B2CF9AE}" pid="8" name="MSIP_Label_8772ba27-cab8-4042-a351-a31f6e4eacdc_ActionId">
    <vt:lpwstr>abf8b539-0c21-41c3-9985-fc45c1d604d5</vt:lpwstr>
  </property>
  <property fmtid="{D5CDD505-2E9C-101B-9397-08002B2CF9AE}" pid="9" name="MSIP_Label_8772ba27-cab8-4042-a351-a31f6e4eacdc_ContentBits">
    <vt:lpwstr>0</vt:lpwstr>
  </property>
  <property fmtid="{D5CDD505-2E9C-101B-9397-08002B2CF9AE}" pid="10" name="MSIP_Label_8772ba27-cab8-4042-a351-a31f6e4eacdc_Tag">
    <vt:lpwstr>50, 3, 0, 1</vt:lpwstr>
  </property>
</Properties>
</file>