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rPr>
          <w:lang w:val="en-US"/>
        </w:rPr>
      </w:pPr>
      <w:r>
        <w:rPr>
          <w:lang w:val="en-US"/>
        </w:rPr>
        <w:t>Chapter 11: Methods and Ontological Positioning</w:t>
      </w:r>
    </w:p>
    <w:p>
      <w:pPr>
        <w:pStyle w:val="Heading2"/>
        <w:rPr>
          <w:lang w:val="en-US"/>
        </w:rPr>
      </w:pPr>
      <w:r>
        <w:rPr>
          <w:lang w:val="en-US"/>
        </w:rPr>
        <w:t xml:space="preserve">11.1 Introduction: From Ontological Requirements to Methodological Practice</w:t>
      </w:r>
    </w:p>
    <w:p w14:paraId="1D8E5607" w14:textId="7BC087FF" w:rsidR="00675F56" w:rsidRPr="00675F56" w:rsidRDefault="00675F56" w:rsidP="00675F56">
      <w:pPr>
        <w:rPr>
          <w:lang w:val="en-US"/>
        </w:rPr>
      </w:pPr>
      <w:r>
        <w:rPr>
          <w:lang w:val="en-US"/>
        </w:rPr>
        <w:t xml:space="preserve">Methods are not neutral tools that researchers apply to collect data and then interpret through a separately chosen theoretical lens. Each method embodies assumptions about what social reality contains, what level of social organization it operates at, how causation works, and what kind of knowledge it is capable of producing. A method that treats individuals as the primary units of analysis cannot simultaneously generate knowledge about collective properties irreducible to those individuals. A method that accesses social life primarily through actors' accounts cannot simultaneously demonstrate that mechanisms operate independently of actors' awareness. These are not incidental limitations to be overcome through methodological ingenuity, but consequences of the ontological commitments built into each method's own logic. </w:t>
      </w:r>
    </w:p>
    <w:p w14:paraId="4B4C8844" w14:textId="77777777" w:rsidR="0010499C" w:rsidRDefault="00675F56" w:rsidP="00675F56">
      <w:pPr>
        <w:rPr>
          <w:lang w:val="en-US"/>
        </w:rPr>
      </w:pPr>
      <w:r>
        <w:rPr>
          <w:lang w:val="en-US"/>
        </w:rPr>
        <w:lastRenderedPageBreak/>
        <w:t xml:space="preserve">Understanding this means that methodological debates about which methods are superior are often unresolvable as stated, because the disputants are not disagreeing about which method better accomplishes the same task but about which aspects of social reality require investigation. Advocates for experimental manipulation and advocates for ethnographic inquiry are not simply disagreeing about technical standards of evidence; they are operating from different commitments about what social causation is and how it operates. </w:t>
      </w:r>
    </w:p>
    <w:p w14:paraId="7886FF84" w14:textId="2230F5A5" w:rsidR="00675F56" w:rsidRPr="00675F56" w:rsidRDefault="00675F56" w:rsidP="00675F56">
      <w:pPr>
        <w:rPr>
          <w:lang w:val="en-US"/>
        </w:rPr>
      </w:pPr>
      <w:r>
        <w:rPr>
          <w:lang w:val="en-US"/>
        </w:rPr>
        <w:t xml:space="preserve">The framework developed across the preceding chapters makes these disagreements visible and enables researchers to evaluate methods by the appropriate criterion: not which method is generally superior, but which method or combination of methods can adequately investigate what the research problem requires, given the researcher's composite positioning. </w:t>
      </w:r>
    </w:p>
    <w:p w14:paraId="6E0554E6" w14:textId="58D41FF6" w:rsidR="00675F56" w:rsidRPr="00675F56" w:rsidRDefault="00675F56" w:rsidP="00675F56">
      <w:pPr>
        <w:rPr>
          <w:lang w:val="en-US"/>
        </w:rPr>
      </w:pPr>
      <w:r>
        <w:rPr>
          <w:lang w:val="en-US"/>
        </w:rPr>
        <w:t xml:space="preserve">The chapter examines twenty-five methods used across social science disciplines, organized alphabetically for ease of reference. This overview is an orientation device rather than a classification scheme. For each method, the analysis provides a brief identification of what the method is, its intellectual lineage, and how it operates procedurally, followed by an account of how it positions itself with respect to the debates that it actually engages. Not every method speaks to every debate, and the analysis addresses only the debates that are genuinely at stake in a given method's logic. Each entry closes with the method's characteristic limits from an ontological standpoint: what it systematically cannot reach and what follows for researchers whose composite positioning requires what the method cannot provide. </w:t>
      </w:r>
    </w:p>
    <w:p w14:paraId="5D96F5C3" w14:textId="77777777" w:rsidR="00675F56" w:rsidRPr="00675F56" w:rsidRDefault="00675F56" w:rsidP="00675F56">
      <w:pPr>
        <w:pStyle w:val="Heading2"/>
        <w:rPr>
          <w:lang w:val="en-US"/>
        </w:rPr>
      </w:pPr>
      <w:r>
        <w:rPr>
          <w:b/>
          <w:bCs/>
          <w:lang w:val="en-US"/>
        </w:rPr>
        <w:t xml:space="preserve">11.2 Overview Table </w:t>
      </w:r>
    </w:p>
    <w:p w14:paraId="035F1D93" w14:textId="77777777" w:rsidR="00675F56" w:rsidRPr="00675F56" w:rsidRDefault="00675F56" w:rsidP="00675F56">
      <w:pPr>
        <w:rPr>
          <w:lang w:val="en-US"/>
        </w:rPr>
      </w:pPr>
      <w:r>
        <w:rPr>
          <w:lang w:val="en-US"/>
        </w:rPr>
        <w:t xml:space="preserve">Table 11.1 maps the twenty-five methods examined in this chapter against the four social ontological debates. Entries indicate the primary ontological tendencies of each method as typically practiced. Most methods occupy positions along continua rather than at fixed poles, and the same method can be deployed from different ontological starting points depending on the theoretical framework guiding its use. The table is an orientation device rather than a classification scheme. </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1548"/>
        <w:gridCol w:w="1422"/>
        <w:gridCol w:w="1547"/>
        <w:gridCol w:w="2095"/>
        <w:gridCol w:w="703"/>
      </w:tblGrid>
      <w:tr w:rsidR="00E50AD6" w14:paraId="48D2753E"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6BAB09C2" w14:textId="77777777" w:rsidR="00E50AD6" w:rsidRDefault="00B25407">
            <w:r>
              <w:rPr>
                <w:b/>
                <w:bCs/>
                <w:sz w:val="18"/>
                <w:szCs w:val="18"/>
              </w:rPr>
              <w:t>Method</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1BA24BD8" w14:textId="77777777" w:rsidR="00E50AD6" w:rsidRDefault="00B25407">
            <w:r>
              <w:rPr>
                <w:b/>
                <w:bCs/>
                <w:sz w:val="18"/>
                <w:szCs w:val="18"/>
              </w:rPr>
              <w:t>Individuals/Groups</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3C445464" w14:textId="77777777" w:rsidR="00E50AD6" w:rsidRDefault="00B25407">
            <w:r>
              <w:rPr>
                <w:b/>
                <w:bCs/>
                <w:sz w:val="18"/>
                <w:szCs w:val="18"/>
              </w:rPr>
              <w:t>Structure/Agency</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24665FA4" w14:textId="77777777" w:rsidR="00E50AD6" w:rsidRDefault="00B25407">
            <w:r>
              <w:rPr>
                <w:b/>
                <w:bCs/>
                <w:sz w:val="18"/>
                <w:szCs w:val="18"/>
              </w:rPr>
              <w:t>Material/Ideational</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066FCBDB" w14:textId="77777777" w:rsidR="00E50AD6" w:rsidRDefault="00B25407">
            <w:r>
              <w:rPr>
                <w:b/>
                <w:bCs/>
                <w:sz w:val="18"/>
                <w:szCs w:val="18"/>
              </w:rPr>
              <w:t>Transcendence/Immanence</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09EC49A8" w14:textId="77777777" w:rsidR="00E50AD6" w:rsidRDefault="00B25407">
            <w:r>
              <w:rPr>
                <w:b/>
                <w:bCs/>
                <w:sz w:val="18"/>
                <w:szCs w:val="18"/>
              </w:rPr>
              <w:t>Section</w:t>
            </w:r>
          </w:p>
        </w:tc>
      </w:tr>
      <w:tr w:rsidR="00E50AD6" w14:paraId="666178E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E8A2BD" w14:textId="77777777" w:rsidR="00E50AD6" w:rsidRDefault="00B25407">
            <w:r>
              <w:rPr>
                <w:sz w:val="18"/>
                <w:szCs w:val="18"/>
              </w:rPr>
              <w:t>Agent-Based Modeling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B816FD"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5691B9" w14:textId="77777777" w:rsidR="00E50AD6" w:rsidRDefault="00B25407">
            <w:r>
              <w:rPr>
                <w:sz w:val="18"/>
                <w:szCs w:val="18"/>
              </w:rPr>
              <w:t>Agency/emergent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212752"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EE48B6"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683261" w14:textId="77777777" w:rsidR="00E50AD6" w:rsidRDefault="00B25407">
            <w:r>
              <w:rPr>
                <w:sz w:val="18"/>
                <w:szCs w:val="18"/>
              </w:rPr>
              <w:t>11.3.1</w:t>
            </w:r>
          </w:p>
        </w:tc>
      </w:tr>
      <w:tr w:rsidR="00E50AD6" w14:paraId="390137B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68CCBA" w14:textId="77777777" w:rsidR="00E50AD6" w:rsidRDefault="00B25407">
            <w:r>
              <w:rPr>
                <w:sz w:val="18"/>
                <w:szCs w:val="18"/>
              </w:rPr>
              <w:t>Axiological Research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82D0FE"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985672"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3939C5" w14:textId="77777777" w:rsidR="00E50AD6" w:rsidRDefault="00B25407">
            <w:r>
              <w:rPr>
                <w:sz w:val="18"/>
                <w:szCs w:val="18"/>
              </w:rPr>
              <w:t>Ideational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69F2B0"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9025A6" w14:textId="77777777" w:rsidR="00E50AD6" w:rsidRDefault="00B25407">
            <w:r>
              <w:rPr>
                <w:sz w:val="18"/>
                <w:szCs w:val="18"/>
              </w:rPr>
              <w:t>11.3.2</w:t>
            </w:r>
          </w:p>
        </w:tc>
      </w:tr>
      <w:tr w:rsidR="00E50AD6" w14:paraId="2BC654C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C3E662" w14:textId="77777777" w:rsidR="00E50AD6" w:rsidRDefault="00B25407">
            <w:r>
              <w:rPr>
                <w:sz w:val="18"/>
                <w:szCs w:val="18"/>
              </w:rPr>
              <w:lastRenderedPageBreak/>
              <w:t>Biographical Methods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6A3B8E" w14:textId="77777777" w:rsidR="00E50AD6" w:rsidRDefault="00B25407">
            <w:r>
              <w:rPr>
                <w:sz w:val="18"/>
                <w:szCs w:val="18"/>
              </w:rPr>
              <w:t>Individual/social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7B9D76" w14:textId="77777777" w:rsidR="00E50AD6" w:rsidRDefault="00B25407">
            <w:r>
              <w:rPr>
                <w:sz w:val="18"/>
                <w:szCs w:val="18"/>
              </w:rPr>
              <w:t>Agency within structure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54A0C4"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A8646F"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21B915" w14:textId="77777777" w:rsidR="00E50AD6" w:rsidRDefault="00B25407">
            <w:r>
              <w:rPr>
                <w:sz w:val="18"/>
                <w:szCs w:val="18"/>
              </w:rPr>
              <w:t>11.3.3</w:t>
            </w:r>
          </w:p>
        </w:tc>
      </w:tr>
      <w:tr w:rsidR="00E50AD6" w14:paraId="6EC7A51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AE9986" w14:textId="77777777" w:rsidR="00E50AD6" w:rsidRDefault="00B25407">
            <w:r>
              <w:rPr>
                <w:sz w:val="18"/>
                <w:szCs w:val="18"/>
              </w:rPr>
              <w:t>Case Study Research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449DF8" w14:textId="77777777" w:rsidR="00E50AD6" w:rsidRDefault="00B25407">
            <w:r>
              <w:rPr>
                <w:sz w:val="18"/>
                <w:szCs w:val="18"/>
              </w:rPr>
              <w:t>Flexible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6D0955"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0C04B4"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1D4CC5" w14:textId="77777777" w:rsidR="00E50AD6" w:rsidRDefault="00B25407">
            <w:r>
              <w:rPr>
                <w:sz w:val="18"/>
                <w:szCs w:val="18"/>
              </w:rPr>
              <w:t>Immanent/analytical gen.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172A8A" w14:textId="77777777" w:rsidR="00E50AD6" w:rsidRDefault="00B25407">
            <w:r>
              <w:rPr>
                <w:sz w:val="18"/>
                <w:szCs w:val="18"/>
              </w:rPr>
              <w:t>11.3.4</w:t>
            </w:r>
          </w:p>
        </w:tc>
      </w:tr>
      <w:tr w:rsidR="00E50AD6" w14:paraId="3CF4675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15E6C1" w14:textId="77777777" w:rsidR="00E50AD6" w:rsidRDefault="00B25407">
            <w:r>
              <w:rPr>
                <w:sz w:val="18"/>
                <w:szCs w:val="18"/>
              </w:rPr>
              <w:t>Cohort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42742B" w14:textId="77777777" w:rsidR="00E50AD6" w:rsidRDefault="00B25407">
            <w:r>
              <w:rPr>
                <w:sz w:val="18"/>
                <w:szCs w:val="18"/>
              </w:rPr>
              <w:t>Individual units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6F91C7" w14:textId="77777777" w:rsidR="00E50AD6" w:rsidRDefault="00B25407">
            <w:r>
              <w:rPr>
                <w:sz w:val="18"/>
                <w:szCs w:val="18"/>
              </w:rPr>
              <w:t>Structural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385862"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A38050"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7E7FAA" w14:textId="77777777" w:rsidR="00E50AD6" w:rsidRDefault="00B25407">
            <w:r>
              <w:rPr>
                <w:sz w:val="18"/>
                <w:szCs w:val="18"/>
              </w:rPr>
              <w:t>11.3.5</w:t>
            </w:r>
          </w:p>
        </w:tc>
      </w:tr>
      <w:tr w:rsidR="00E50AD6" w14:paraId="479952A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2C37A4" w14:textId="77777777" w:rsidR="00E50AD6" w:rsidRDefault="00B25407">
            <w:r>
              <w:rPr>
                <w:sz w:val="18"/>
                <w:szCs w:val="18"/>
              </w:rPr>
              <w:t>Comparative Case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5F3E4F"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E62B39" w14:textId="77777777" w:rsidR="00E50AD6" w:rsidRDefault="00B25407">
            <w:r>
              <w:rPr>
                <w:sz w:val="18"/>
                <w:szCs w:val="18"/>
              </w:rPr>
              <w:t>Structural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151155"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46CBBD"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02CDAE" w14:textId="77777777" w:rsidR="00E50AD6" w:rsidRDefault="00B25407">
            <w:r>
              <w:rPr>
                <w:sz w:val="18"/>
                <w:szCs w:val="18"/>
              </w:rPr>
              <w:t>11.3.6</w:t>
            </w:r>
          </w:p>
        </w:tc>
      </w:tr>
      <w:tr w:rsidR="00E50AD6" w14:paraId="3AA79C6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0453E3" w14:textId="77777777" w:rsidR="00E50AD6" w:rsidRDefault="00B25407">
            <w:r>
              <w:rPr>
                <w:sz w:val="18"/>
                <w:szCs w:val="18"/>
              </w:rPr>
              <w:t>Comparative Historical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132467"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683D56" w14:textId="77777777" w:rsidR="00E50AD6" w:rsidRDefault="00B25407">
            <w:r>
              <w:rPr>
                <w:sz w:val="18"/>
                <w:szCs w:val="18"/>
              </w:rPr>
              <w:t>Structural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05F5BE"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B14A46"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7B2783" w14:textId="77777777" w:rsidR="00E50AD6" w:rsidRDefault="00B25407">
            <w:r>
              <w:rPr>
                <w:sz w:val="18"/>
                <w:szCs w:val="18"/>
              </w:rPr>
              <w:t>11.3.7</w:t>
            </w:r>
          </w:p>
        </w:tc>
      </w:tr>
      <w:tr w:rsidR="00E50AD6" w14:paraId="70D842C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276CF6" w14:textId="77777777" w:rsidR="00E50AD6" w:rsidRDefault="00B25407">
            <w:r>
              <w:rPr>
                <w:sz w:val="18"/>
                <w:szCs w:val="18"/>
              </w:rPr>
              <w:t>Discourse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8C01E4"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317095"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B8B50E" w14:textId="77777777" w:rsidR="00E50AD6" w:rsidRDefault="00B25407">
            <w:r>
              <w:rPr>
                <w:sz w:val="18"/>
                <w:szCs w:val="18"/>
              </w:rPr>
              <w:t>Ideational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06CB60"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B5144A" w14:textId="77777777" w:rsidR="00E50AD6" w:rsidRDefault="00B25407">
            <w:r>
              <w:rPr>
                <w:sz w:val="18"/>
                <w:szCs w:val="18"/>
              </w:rPr>
              <w:t>11.3.8</w:t>
            </w:r>
          </w:p>
        </w:tc>
      </w:tr>
      <w:tr w:rsidR="00E50AD6" w14:paraId="731C7C4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87D691" w14:textId="77777777" w:rsidR="00E50AD6" w:rsidRDefault="00B25407">
            <w:r>
              <w:rPr>
                <w:sz w:val="18"/>
                <w:szCs w:val="18"/>
              </w:rPr>
              <w:t>Ethnographic Investigation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3F4A92"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1CB156" w14:textId="77777777" w:rsidR="00E50AD6" w:rsidRDefault="00B25407">
            <w:r>
              <w:rPr>
                <w:sz w:val="18"/>
                <w:szCs w:val="18"/>
              </w:rPr>
              <w:t>Agency/mutual const.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CBF21A"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13C2B0"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20A9BD" w14:textId="77777777" w:rsidR="00E50AD6" w:rsidRDefault="00B25407">
            <w:r>
              <w:rPr>
                <w:sz w:val="18"/>
                <w:szCs w:val="18"/>
              </w:rPr>
              <w:t>11.3.9</w:t>
            </w:r>
          </w:p>
        </w:tc>
      </w:tr>
      <w:tr w:rsidR="00E50AD6" w14:paraId="2A40B69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D931C6" w14:textId="77777777" w:rsidR="00E50AD6" w:rsidRDefault="00B25407">
            <w:r>
              <w:rPr>
                <w:sz w:val="18"/>
                <w:szCs w:val="18"/>
              </w:rPr>
              <w:t>Experimental Manipulation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573B63" w14:textId="77777777" w:rsidR="00E50AD6" w:rsidRDefault="00B25407">
            <w:r>
              <w:rPr>
                <w:sz w:val="18"/>
                <w:szCs w:val="18"/>
              </w:rPr>
              <w:t>Individual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8E4997" w14:textId="77777777" w:rsidR="00E50AD6" w:rsidRDefault="00B25407">
            <w:r>
              <w:rPr>
                <w:sz w:val="18"/>
                <w:szCs w:val="18"/>
              </w:rPr>
              <w:t>Agency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A9ECAA"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E9022F" w14:textId="77777777" w:rsidR="00E50AD6" w:rsidRDefault="00B25407">
            <w:r>
              <w:rPr>
                <w:sz w:val="18"/>
                <w:szCs w:val="18"/>
              </w:rPr>
              <w:t>Transcendent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05A968" w14:textId="77777777" w:rsidR="00E50AD6" w:rsidRDefault="00B25407">
            <w:r>
              <w:rPr>
                <w:sz w:val="18"/>
                <w:szCs w:val="18"/>
              </w:rPr>
              <w:t>11.3.10</w:t>
            </w:r>
          </w:p>
        </w:tc>
      </w:tr>
      <w:tr w:rsidR="00E50AD6" w14:paraId="05D0D14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A8FD4C" w14:textId="77777777" w:rsidR="00E50AD6" w:rsidRDefault="00B25407">
            <w:r>
              <w:rPr>
                <w:sz w:val="18"/>
                <w:szCs w:val="18"/>
              </w:rPr>
              <w:t>Grounded Theory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0A028E"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10F965" w14:textId="77777777" w:rsidR="00E50AD6" w:rsidRDefault="00B25407">
            <w:r>
              <w:rPr>
                <w:sz w:val="18"/>
                <w:szCs w:val="18"/>
              </w:rPr>
              <w:t>Agency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3C828B"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68C2B9"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02FDD6" w14:textId="77777777" w:rsidR="00E50AD6" w:rsidRDefault="00B25407">
            <w:r>
              <w:rPr>
                <w:sz w:val="18"/>
                <w:szCs w:val="18"/>
              </w:rPr>
              <w:t>11.3.11</w:t>
            </w:r>
          </w:p>
        </w:tc>
      </w:tr>
      <w:tr w:rsidR="00E50AD6" w14:paraId="0679E01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F9AF7E" w14:textId="77777777" w:rsidR="00E50AD6" w:rsidRDefault="00B25407">
            <w:r>
              <w:rPr>
                <w:sz w:val="18"/>
                <w:szCs w:val="18"/>
              </w:rPr>
              <w:t>Hermeneutic Inquiry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CE43AD"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070197"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D4CB1C" w14:textId="77777777" w:rsidR="00E50AD6" w:rsidRDefault="00B25407">
            <w:r>
              <w:rPr>
                <w:sz w:val="18"/>
                <w:szCs w:val="18"/>
              </w:rPr>
              <w:t>Ideational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80AF0F"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FC8D3FF" w14:textId="77777777" w:rsidR="00E50AD6" w:rsidRDefault="00B25407">
            <w:r>
              <w:rPr>
                <w:sz w:val="18"/>
                <w:szCs w:val="18"/>
              </w:rPr>
              <w:t>11.3.12</w:t>
            </w:r>
          </w:p>
        </w:tc>
      </w:tr>
      <w:tr w:rsidR="00E50AD6" w14:paraId="2D830E4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8E4B80" w14:textId="77777777" w:rsidR="00E50AD6" w:rsidRDefault="00B25407">
            <w:r>
              <w:rPr>
                <w:sz w:val="18"/>
                <w:szCs w:val="18"/>
              </w:rPr>
              <w:t>Longitudinal Panel Studies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F32AB7" w14:textId="77777777" w:rsidR="00E50AD6" w:rsidRDefault="00B25407">
            <w:r>
              <w:rPr>
                <w:sz w:val="18"/>
                <w:szCs w:val="18"/>
              </w:rPr>
              <w:t>Individual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BA97AE" w14:textId="77777777" w:rsidR="00E50AD6" w:rsidRDefault="00B25407">
            <w:proofErr w:type="gramStart"/>
            <w:r>
              <w:rPr>
                <w:sz w:val="18"/>
                <w:szCs w:val="18"/>
              </w:rPr>
              <w:t>Individual-level</w:t>
            </w:r>
            <w:proofErr w:type="gram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59C8F3"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7EEAD8" w14:textId="77777777" w:rsidR="00E50AD6" w:rsidRDefault="00B25407">
            <w:r>
              <w:rPr>
                <w:sz w:val="18"/>
                <w:szCs w:val="18"/>
              </w:rPr>
              <w:t>Transcendent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042EC5" w14:textId="77777777" w:rsidR="00E50AD6" w:rsidRDefault="00B25407">
            <w:r>
              <w:rPr>
                <w:sz w:val="18"/>
                <w:szCs w:val="18"/>
              </w:rPr>
              <w:t>11.3.13</w:t>
            </w:r>
          </w:p>
        </w:tc>
      </w:tr>
      <w:tr w:rsidR="00E50AD6" w14:paraId="7C0D955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C7F4BE" w14:textId="77777777" w:rsidR="00E50AD6" w:rsidRDefault="00B25407">
            <w:r>
              <w:rPr>
                <w:sz w:val="18"/>
                <w:szCs w:val="18"/>
              </w:rPr>
              <w:t>Meta-Analysis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04D7EA" w14:textId="77777777" w:rsidR="00E50AD6" w:rsidRDefault="00B25407">
            <w:r>
              <w:rPr>
                <w:sz w:val="18"/>
                <w:szCs w:val="18"/>
              </w:rPr>
              <w:t>Inherits primary studies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DC235E"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45B4A0"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2F321E" w14:textId="77777777" w:rsidR="00E50AD6" w:rsidRDefault="00B25407">
            <w:r>
              <w:rPr>
                <w:sz w:val="18"/>
                <w:szCs w:val="18"/>
              </w:rPr>
              <w:t>Transcendent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A29A7D" w14:textId="77777777" w:rsidR="00E50AD6" w:rsidRDefault="00B25407">
            <w:r>
              <w:rPr>
                <w:sz w:val="18"/>
                <w:szCs w:val="18"/>
              </w:rPr>
              <w:t>11.3.14</w:t>
            </w:r>
          </w:p>
        </w:tc>
      </w:tr>
      <w:tr w:rsidR="00E50AD6" w14:paraId="334C034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26DB9C" w14:textId="77777777" w:rsidR="00E50AD6" w:rsidRDefault="00B25407">
            <w:r>
              <w:rPr>
                <w:sz w:val="18"/>
                <w:szCs w:val="18"/>
              </w:rPr>
              <w:t>Multi-Level Modeling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C3C191"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E5C5F9"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E8A352"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CE4DA9"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865A88" w14:textId="77777777" w:rsidR="00E50AD6" w:rsidRDefault="00B25407">
            <w:r>
              <w:rPr>
                <w:sz w:val="18"/>
                <w:szCs w:val="18"/>
              </w:rPr>
              <w:t>11.3.15</w:t>
            </w:r>
          </w:p>
        </w:tc>
      </w:tr>
      <w:tr w:rsidR="00E50AD6" w14:paraId="62F66C1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26759E" w14:textId="77777777" w:rsidR="00E50AD6" w:rsidRDefault="00B25407">
            <w:r>
              <w:rPr>
                <w:sz w:val="18"/>
                <w:szCs w:val="18"/>
              </w:rPr>
              <w:t>Multi-Sited Ethnography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C7AD211"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D99B55"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28FED1"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C48A32"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F653B6" w14:textId="77777777" w:rsidR="00E50AD6" w:rsidRDefault="00B25407">
            <w:r>
              <w:rPr>
                <w:sz w:val="18"/>
                <w:szCs w:val="18"/>
              </w:rPr>
              <w:t>11.3.16</w:t>
            </w:r>
          </w:p>
        </w:tc>
      </w:tr>
      <w:tr w:rsidR="00E50AD6" w14:paraId="18FD648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9EB69B" w14:textId="77777777" w:rsidR="00E50AD6" w:rsidRDefault="00B25407">
            <w:r>
              <w:rPr>
                <w:sz w:val="18"/>
                <w:szCs w:val="18"/>
              </w:rPr>
              <w:t>Network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D02DE1" w14:textId="77777777" w:rsidR="00E50AD6" w:rsidRDefault="00B25407">
            <w:r>
              <w:rPr>
                <w:sz w:val="18"/>
                <w:szCs w:val="18"/>
              </w:rPr>
              <w:t>Relational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7CD4D8"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FE66F2"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C00ACA" w14:textId="77777777" w:rsidR="00E50AD6" w:rsidRDefault="00B25407">
            <w:r>
              <w:rPr>
                <w:sz w:val="18"/>
                <w:szCs w:val="18"/>
              </w:rPr>
              <w:t>Transcendent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6A95B0" w14:textId="77777777" w:rsidR="00E50AD6" w:rsidRDefault="00B25407">
            <w:r>
              <w:rPr>
                <w:sz w:val="18"/>
                <w:szCs w:val="18"/>
              </w:rPr>
              <w:t>11.3.17</w:t>
            </w:r>
          </w:p>
        </w:tc>
      </w:tr>
      <w:tr w:rsidR="00E50AD6" w14:paraId="633551B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54754B" w14:textId="77777777" w:rsidR="00E50AD6" w:rsidRDefault="00B25407">
            <w:r>
              <w:rPr>
                <w:sz w:val="18"/>
                <w:szCs w:val="18"/>
              </w:rPr>
              <w:t>Phenomenological/IPA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24A5B9" w14:textId="77777777" w:rsidR="00E50AD6" w:rsidRDefault="00B25407">
            <w:r>
              <w:rPr>
                <w:sz w:val="18"/>
                <w:szCs w:val="18"/>
              </w:rPr>
              <w:t>Individual/shared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F67E34"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545C1F" w14:textId="77777777" w:rsidR="00E50AD6" w:rsidRDefault="00B25407">
            <w:r>
              <w:rPr>
                <w:sz w:val="18"/>
                <w:szCs w:val="18"/>
              </w:rPr>
              <w:t>Ideational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5ED2D3"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CAC005" w14:textId="77777777" w:rsidR="00E50AD6" w:rsidRDefault="00B25407">
            <w:r>
              <w:rPr>
                <w:sz w:val="18"/>
                <w:szCs w:val="18"/>
              </w:rPr>
              <w:t>11.3.18</w:t>
            </w:r>
          </w:p>
        </w:tc>
      </w:tr>
      <w:tr w:rsidR="00E50AD6" w14:paraId="19086D1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2ECC03" w14:textId="77777777" w:rsidR="00E50AD6" w:rsidRDefault="00B25407">
            <w:r>
              <w:rPr>
                <w:sz w:val="18"/>
                <w:szCs w:val="18"/>
              </w:rPr>
              <w:t>Process Tracing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556D76" w14:textId="77777777" w:rsidR="00E50AD6" w:rsidRDefault="00B25407">
            <w:r>
              <w:rPr>
                <w:sz w:val="18"/>
                <w:szCs w:val="18"/>
              </w:rPr>
              <w:t>Flexible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552C58"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3931C24"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DAB4155"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F632D1" w14:textId="77777777" w:rsidR="00E50AD6" w:rsidRDefault="00B25407">
            <w:r>
              <w:rPr>
                <w:sz w:val="18"/>
                <w:szCs w:val="18"/>
              </w:rPr>
              <w:t>11.3.19</w:t>
            </w:r>
          </w:p>
        </w:tc>
      </w:tr>
      <w:tr w:rsidR="00E50AD6" w14:paraId="736E15C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4D09A7" w14:textId="77777777" w:rsidR="00E50AD6" w:rsidRDefault="00B25407">
            <w:r>
              <w:rPr>
                <w:sz w:val="18"/>
                <w:szCs w:val="18"/>
              </w:rPr>
              <w:t>QCA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D783BC2"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99777D"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89D38B"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85733C"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A28251" w14:textId="77777777" w:rsidR="00E50AD6" w:rsidRDefault="00B25407">
            <w:r>
              <w:rPr>
                <w:sz w:val="18"/>
                <w:szCs w:val="18"/>
              </w:rPr>
              <w:t>11.3.20</w:t>
            </w:r>
          </w:p>
        </w:tc>
      </w:tr>
      <w:tr w:rsidR="00E50AD6" w14:paraId="1310044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46172F" w14:textId="77777777" w:rsidR="00E50AD6" w:rsidRDefault="00B25407">
            <w:r>
              <w:rPr>
                <w:sz w:val="18"/>
                <w:szCs w:val="18"/>
              </w:rPr>
              <w:t>Regression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F44036" w14:textId="77777777" w:rsidR="00E50AD6" w:rsidRDefault="00B25407">
            <w:r>
              <w:rPr>
                <w:sz w:val="18"/>
                <w:szCs w:val="18"/>
              </w:rPr>
              <w:t>Individual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50452A"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7A2529"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F08BFC" w14:textId="77777777" w:rsidR="00E50AD6" w:rsidRDefault="00B25407">
            <w:r>
              <w:rPr>
                <w:sz w:val="18"/>
                <w:szCs w:val="18"/>
              </w:rPr>
              <w:t>Transcendent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370038" w14:textId="77777777" w:rsidR="00E50AD6" w:rsidRDefault="00B25407">
            <w:r>
              <w:rPr>
                <w:sz w:val="18"/>
                <w:szCs w:val="18"/>
              </w:rPr>
              <w:t>11.3.21</w:t>
            </w:r>
          </w:p>
        </w:tc>
      </w:tr>
      <w:tr w:rsidR="00E50AD6" w14:paraId="3842DF0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8066B7" w14:textId="77777777" w:rsidR="00E50AD6" w:rsidRDefault="00B25407">
            <w:r>
              <w:rPr>
                <w:sz w:val="18"/>
                <w:szCs w:val="18"/>
              </w:rPr>
              <w:t>Semiotic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F16C4C"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D47613"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C2A845" w14:textId="77777777" w:rsidR="00E50AD6" w:rsidRDefault="00B25407">
            <w:r>
              <w:rPr>
                <w:sz w:val="18"/>
                <w:szCs w:val="18"/>
              </w:rPr>
              <w:t>Ideational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BE3215"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9459B9" w14:textId="77777777" w:rsidR="00E50AD6" w:rsidRDefault="00B25407">
            <w:r>
              <w:rPr>
                <w:sz w:val="18"/>
                <w:szCs w:val="18"/>
              </w:rPr>
              <w:t>11.3.22</w:t>
            </w:r>
          </w:p>
        </w:tc>
      </w:tr>
      <w:tr w:rsidR="00E50AD6" w14:paraId="6650B2F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73F58C" w14:textId="77777777" w:rsidR="00E50AD6" w:rsidRDefault="00B25407">
            <w:r>
              <w:rPr>
                <w:sz w:val="18"/>
                <w:szCs w:val="18"/>
              </w:rPr>
              <w:t>Spatial Analysis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9FF76B"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E38B93" w14:textId="77777777" w:rsidR="00E50AD6" w:rsidRDefault="00B25407">
            <w:r>
              <w:rPr>
                <w:sz w:val="18"/>
                <w:szCs w:val="18"/>
              </w:rPr>
              <w:t>Structural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6E8017" w14:textId="77777777" w:rsidR="00E50AD6" w:rsidRDefault="00B25407">
            <w:r>
              <w:rPr>
                <w:sz w:val="18"/>
                <w:szCs w:val="18"/>
              </w:rPr>
              <w:t>Material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34A53B" w14:textId="77777777" w:rsidR="00E50AD6" w:rsidRDefault="00B25407">
            <w:r>
              <w:rPr>
                <w:sz w:val="18"/>
                <w:szCs w:val="18"/>
              </w:rPr>
              <w:t>Both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B3AF15" w14:textId="77777777" w:rsidR="00E50AD6" w:rsidRDefault="00B25407">
            <w:r>
              <w:rPr>
                <w:sz w:val="18"/>
                <w:szCs w:val="18"/>
              </w:rPr>
              <w:t>11.3.23</w:t>
            </w:r>
          </w:p>
        </w:tc>
      </w:tr>
      <w:tr w:rsidR="00E50AD6" w14:paraId="4B67220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EF5F37" w14:textId="77777777" w:rsidR="00E50AD6" w:rsidRDefault="00B25407">
            <w:r>
              <w:rPr>
                <w:sz w:val="18"/>
                <w:szCs w:val="18"/>
              </w:rPr>
              <w:t>Survey Research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248983" w14:textId="77777777" w:rsidR="00E50AD6" w:rsidRDefault="00B25407">
            <w:r>
              <w:rPr>
                <w:sz w:val="18"/>
                <w:szCs w:val="18"/>
              </w:rPr>
              <w:t>Individual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BC39D6" w14:textId="77777777" w:rsidR="00E50AD6" w:rsidRDefault="00B25407">
            <w:proofErr w:type="gramStart"/>
            <w:r>
              <w:rPr>
                <w:sz w:val="18"/>
                <w:szCs w:val="18"/>
              </w:rPr>
              <w:t>Individual-level</w:t>
            </w:r>
            <w:proofErr w:type="gram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039904"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11F2DE" w14:textId="77777777" w:rsidR="00E50AD6" w:rsidRDefault="00B25407">
            <w:r>
              <w:rPr>
                <w:sz w:val="18"/>
                <w:szCs w:val="18"/>
              </w:rPr>
              <w:t>Transcendent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9EDBE8" w14:textId="77777777" w:rsidR="00E50AD6" w:rsidRDefault="00B25407">
            <w:r>
              <w:rPr>
                <w:sz w:val="18"/>
                <w:szCs w:val="18"/>
              </w:rPr>
              <w:t>11.3.24</w:t>
            </w:r>
          </w:p>
        </w:tc>
      </w:tr>
      <w:tr w:rsidR="00E50AD6" w14:paraId="01C3795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916313" w14:textId="77777777" w:rsidR="00E50AD6" w:rsidRDefault="00B25407">
            <w:r>
              <w:rPr>
                <w:sz w:val="18"/>
                <w:szCs w:val="18"/>
              </w:rPr>
              <w:lastRenderedPageBreak/>
              <w:t>Visual/Material Culture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92A565" w14:textId="77777777" w:rsidR="00E50AD6" w:rsidRDefault="00B25407">
            <w:r>
              <w:rPr>
                <w:sz w:val="18"/>
                <w:szCs w:val="18"/>
              </w:rPr>
              <w:t>Collective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DFF733" w14:textId="77777777" w:rsidR="00E50AD6" w:rsidRDefault="00B25407">
            <w:r>
              <w:rPr>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1B1B64" w14:textId="77777777" w:rsidR="00E50AD6" w:rsidRDefault="00B25407">
            <w:r>
              <w:rPr>
                <w:sz w:val="18"/>
                <w:szCs w:val="18"/>
              </w:rPr>
              <w:t>Both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FF6D08E" w14:textId="77777777" w:rsidR="00E50AD6" w:rsidRDefault="00B25407">
            <w:r>
              <w:rPr>
                <w:sz w:val="18"/>
                <w:szCs w:val="18"/>
              </w:rPr>
              <w:t>Immanent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AB8969" w14:textId="77777777" w:rsidR="00E50AD6" w:rsidRDefault="00B25407">
            <w:r>
              <w:rPr>
                <w:sz w:val="18"/>
                <w:szCs w:val="18"/>
              </w:rPr>
              <w:t>11.3.25</w:t>
            </w:r>
          </w:p>
        </w:tc>
      </w:tr>
    </w:tbl>
    <w:p w14:paraId="4760FE0B" w14:textId="77777777" w:rsidR="00675F56" w:rsidRPr="00675F56" w:rsidRDefault="00675F56">
      <w:pPr>
        <w:rPr>
          <w:lang w:val="en-US"/>
        </w:rPr>
      </w:pPr>
    </w:p>
    <w:p w14:paraId="42BBDF75" w14:textId="77777777" w:rsidR="00675F56" w:rsidRPr="00675F56" w:rsidRDefault="00675F56" w:rsidP="00675F56">
      <w:pPr>
        <w:pStyle w:val="Heading2"/>
        <w:rPr>
          <w:lang w:val="en-US"/>
        </w:rPr>
      </w:pPr>
      <w:r>
        <w:rPr>
          <w:b/>
          <w:bCs/>
          <w:lang w:val="en-US"/>
        </w:rPr>
        <w:t xml:space="preserve">11.3 Methods </w:t>
      </w:r>
    </w:p>
    <w:p w14:paraId="3C7861BF" w14:textId="77777777" w:rsidR="00675F56" w:rsidRPr="00675F56" w:rsidRDefault="00675F56" w:rsidP="00675F56">
      <w:pPr>
        <w:pStyle w:val="Heading3"/>
        <w:rPr>
          <w:lang w:val="en-US"/>
        </w:rPr>
      </w:pPr>
      <w:r>
        <w:rPr>
          <w:b/>
          <w:bCs/>
          <w:i/>
          <w:iCs/>
          <w:lang w:val="en-US"/>
        </w:rPr>
        <w:t xml:space="preserve">11.3.1 Agent-Based Modeling and Computational Social Simulation </w:t>
      </w:r>
    </w:p>
    <w:p w14:paraId="714AB8D8" w14:textId="6F2DCD38" w:rsidR="00675F56" w:rsidRPr="00675F56" w:rsidRDefault="00675F56" w:rsidP="00675F56">
      <w:pPr>
        <w:rPr>
          <w:lang w:val="en-US"/>
        </w:rPr>
      </w:pPr>
      <w:r>
        <w:rPr>
          <w:lang w:val="en-US"/>
        </w:rPr>
        <w:t xml:space="preserve">Agent-based modeling (ABM) constructs computational simulations in which autonomous agents following specified behavioral rules interact within defined environments. This method enables researchers to examine how macro-level social patterns emerge from micro-level behavioral dynamics. Agents are programmed according to certain properties and decision rules, then placed in a simulated </w:t>
        <w:lastRenderedPageBreak/>
        <w:t xml:space="preserve">environment, and allowed to interact iteratively. The researcher’s role is to observe what aggregate patterns emerge. The approach originates with the artificial societies programme of Epstein and Axtell (1996) and Axelrod's (1997) work on the evolution of cooperation. For methodological guidance see Gilbert (2008) </w:t>
      </w:r>
      <w:r>
        <w:rPr>
          <w:i/>
          <w:iCs/>
          <w:lang w:val="en-US"/>
        </w:rPr>
        <w:t xml:space="preserve">Agent-Based Models </w:t>
      </w:r>
      <w:r>
        <w:rPr>
          <w:lang w:val="en-US"/>
        </w:rPr>
        <w:t xml:space="preserve">and Railsback and Grimm (2019) </w:t>
      </w:r>
      <w:r>
        <w:rPr>
          <w:i/>
          <w:iCs/>
          <w:lang w:val="en-US"/>
        </w:rPr>
        <w:t>Agent-Based and Individual-Based Modeling</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the emergence of residential segregation in a mid-sized city. The research object is the aggregate spatial pattern that emerges from individual relocation decisions. The method programs agents with a mild preference threshold — for instance, willingness to relocate if fewer than a third of immediate neighbours share a similar characteristic — and runs the simulation iteratively, observing whether strongly segregated spatial patterns emerge from individually modest preferences. Triangulation with empirical data on actual household moves tests whether the modelled mechanism plausibly captures what operates in the real setting.</w:t>
      </w:r>
    </w:p>
    <w:p w14:paraId="5AA23C37" w14:textId="77777777" w:rsidR="00675F56" w:rsidRPr="00675F56" w:rsidRDefault="00675F56" w:rsidP="00675F56">
      <w:pPr>
        <w:rPr>
          <w:lang w:val="en-US"/>
        </w:rPr>
      </w:pPr>
      <w:r>
        <w:rPr>
          <w:i/>
          <w:iCs/>
          <w:lang w:val="en-US"/>
        </w:rPr>
        <w:t xml:space="preserve">Individuals and groups </w:t>
      </w:r>
    </w:p>
    <w:p w14:paraId="1CECECAA" w14:textId="77777777" w:rsidR="00675F56" w:rsidRPr="00675F56" w:rsidRDefault="00675F56" w:rsidP="00675F56">
      <w:pPr>
        <w:rPr>
          <w:lang w:val="en-US"/>
        </w:rPr>
      </w:pPr>
      <w:r>
        <w:rPr>
          <w:lang w:val="en-US"/>
        </w:rPr>
        <w:t xml:space="preserve">ABM occupies a distinctive integrative position. Agents are the irreducible units of the simulation, specified at the individual level, but the macro-level patterns that emerge from their interactions are genuine collective properties not reducible to any single agent's characteristics. Schelling's (1971) checkerboard segregation model is the canonical demonstration: agents with only mild preferences for similar neighbors reliably generate strongly segregated spatial patterns, a collective outcome no individual agent intended or could produce alone. </w:t>
      </w:r>
    </w:p>
    <w:p w14:paraId="483FF1B3" w14:textId="77777777" w:rsidR="00675F56" w:rsidRPr="00675F56" w:rsidRDefault="00675F56" w:rsidP="00675F56">
      <w:pPr>
        <w:rPr>
          <w:lang w:val="en-US"/>
        </w:rPr>
      </w:pPr>
      <w:r>
        <w:rPr>
          <w:i/>
          <w:iCs/>
          <w:lang w:val="en-US"/>
        </w:rPr>
        <w:t xml:space="preserve">Structure and agency </w:t>
      </w:r>
    </w:p>
    <w:p w14:paraId="582845DB" w14:textId="77777777" w:rsidR="00675F56" w:rsidRPr="00675F56" w:rsidRDefault="00675F56" w:rsidP="00675F56">
      <w:pPr>
        <w:rPr>
          <w:lang w:val="en-US"/>
        </w:rPr>
      </w:pPr>
      <w:r>
        <w:rPr>
          <w:lang w:val="en-US"/>
        </w:rPr>
        <w:t xml:space="preserve">ABM is primarily oriented toward agency and emergence. It models how agential behavior generates structural patterns but is less suited to modeling how pre-existing structures independently constrain action, since structural conditions must themselves be specified as parameters of the agential environment rather than as autonomous causal forces. </w:t>
      </w:r>
    </w:p>
    <w:p w14:paraId="1C0CB6A1" w14:textId="77777777" w:rsidR="00675F56" w:rsidRPr="00675F56" w:rsidRDefault="00675F56" w:rsidP="00675F56">
      <w:pPr>
        <w:rPr>
          <w:lang w:val="en-US"/>
        </w:rPr>
      </w:pPr>
      <w:r>
        <w:rPr>
          <w:i/>
          <w:iCs/>
          <w:lang w:val="en-US"/>
        </w:rPr>
        <w:t xml:space="preserve">Transcendence and immanence </w:t>
      </w:r>
    </w:p>
    <w:p w14:paraId="2EC710B0" w14:textId="77777777" w:rsidR="00675F56" w:rsidRPr="00675F56" w:rsidRDefault="00675F56" w:rsidP="00675F56">
      <w:pPr>
        <w:rPr>
          <w:lang w:val="en-US"/>
        </w:rPr>
      </w:pPr>
      <w:r>
        <w:rPr>
          <w:lang w:val="en-US"/>
        </w:rPr>
        <w:t xml:space="preserve">ABM can serve either position. Schelling's segregation and Axelrod's cooperation models seek universal principles of emergent social dynamics. Contextually specific models can be built by calibrating parameters to particular historical or cultural settings, but establishing that the model captures what actually operates in that setting requires independent empirical triangulation. </w:t>
      </w:r>
    </w:p>
    <w:p w14:paraId="25D7ED61" w14:textId="77777777" w:rsidR="00675F56" w:rsidRPr="00675F56" w:rsidRDefault="00675F56" w:rsidP="00675F56">
      <w:pPr>
        <w:rPr>
          <w:lang w:val="en-US"/>
        </w:rPr>
      </w:pPr>
      <w:r>
        <w:rPr>
          <w:i/>
          <w:iCs/>
          <w:lang w:val="en-US"/>
        </w:rPr>
        <w:t xml:space="preserve">Characteristic limits </w:t>
      </w:r>
    </w:p>
    <w:p w14:paraId="67BA79FA" w14:textId="77777777" w:rsidR="00675F56" w:rsidRPr="00675F56" w:rsidRDefault="00675F56" w:rsidP="00675F56">
      <w:pPr>
        <w:rPr>
          <w:lang w:val="en-US"/>
        </w:rPr>
      </w:pPr>
      <w:r>
        <w:rPr>
          <w:lang w:val="en-US"/>
        </w:rPr>
        <w:t xml:space="preserve">ABM's characteristic limit is the equifinality problem: many different combinations of agent rules can generate the same macro-level pattern, so demonstrating that a model produces an observed outcome does not establish that the modeled mechanisms are the ones actually operating. The method requires triangulation with empirical research on actual micro-level processes. </w:t>
      </w:r>
    </w:p>
    <w:p w14:paraId="77E6608E" w14:textId="77777777" w:rsidR="00675F56" w:rsidRPr="00675F56" w:rsidRDefault="00675F56" w:rsidP="00675F56">
      <w:pPr>
        <w:pStyle w:val="Heading3"/>
        <w:rPr>
          <w:lang w:val="en-US"/>
        </w:rPr>
      </w:pPr>
      <w:r>
        <w:rPr>
          <w:b/>
          <w:bCs/>
          <w:i/>
          <w:iCs/>
          <w:lang w:val="en-US"/>
        </w:rPr>
        <w:t xml:space="preserve">11.3.2 Axiological and Value-Analytic Research </w:t>
      </w:r>
    </w:p>
    <w:p w14:paraId="5C1327A3" w14:textId="77777777" w:rsidR="00675F56" w:rsidRPr="00675F56" w:rsidDel="0003647F" w:rsidRDefault="00675F56" w:rsidP="00675F56">
      <w:pPr>
        <w:rPr>
          <w:lang w:val="en-US"/>
        </w:rPr>
      </w:pPr>
      <w:r>
        <w:rPr>
          <w:lang w:val="en-US"/>
        </w:rPr>
        <w:t xml:space="preserve">Axiological research investigates the causal role of values, understood as durable orientations toward what is worthy, desirable, or obligatory, in shaping social action and institutional </w:t>
      </w:r>
    </w:p>
    <w:p w14:paraId="65E48263" w14:textId="77777777" w:rsidR="00675F56" w:rsidRPr="00675F56" w:rsidDel="0003647F" w:rsidRDefault="00675F56" w:rsidP="00675F56">
      <w:pPr>
        <w:rPr>
          <w:lang w:val="en-US"/>
        </w:rPr>
      </w:pPr>
    </w:p>
    <w:p w14:paraId="1E8657EC" w14:textId="77777777" w:rsidR="0003647F" w:rsidRDefault="00675F56" w:rsidP="00675F56">
      <w:pPr>
        <w:rPr>
          <w:lang w:val="en-US"/>
        </w:rPr>
      </w:pPr>
      <w:r>
        <w:rPr>
          <w:lang w:val="en-US"/>
        </w:rPr>
        <w:t xml:space="preserve">form. It treats values as causally consequential entities distinct from both </w:t>
        <w:lastRenderedPageBreak/>
        <w:t xml:space="preserve">material interests and normative rules, examining how value hierarchies structure actors' practical reasoning and institutional commitments. </w:t>
      </w:r>
    </w:p>
    <w:p w14:paraId="0A6AF891" w14:textId="05172AC2" w:rsidR="00675F56" w:rsidRDefault="0003647F" w:rsidP="00675F56">
      <w:pPr>
        <w:rPr>
          <w:lang w:val="en-US"/>
        </w:rPr>
      </w:pPr>
      <w:r>
        <w:rPr>
          <w:lang w:val="en-US"/>
        </w:rPr>
        <w:t xml:space="preserve">Axiological research investigates how values cause things to happen in social life. </w:t>
      </w:r>
      <w:r>
        <w:rPr>
          <w:lang w:val="en-US"/>
        </w:rPr>
        <w:t>Its research object is</w:t>
      </w:r>
      <w:r>
        <w:rPr>
          <w:lang w:val="en-US"/>
        </w:rPr>
        <w:t xml:space="preserve"> the value itself</w:t>
      </w:r>
      <w:r>
        <w:rPr>
          <w:lang w:val="en-US"/>
        </w:rPr>
        <w:t>,</w:t>
      </w:r>
      <w:r>
        <w:rPr>
          <w:lang w:val="en-US"/>
        </w:rPr>
        <w:t xml:space="preserve"> understood not as a passing preference or a formal rule, but as a durable orientation that shapes what actors treat as worth pursuing and what institutions treat as worth protecting. The researcher asks not just what actors did, but why certain goals felt obligatory or desirable to them in the first place, and how those orientations shaped their decisions and the institutions they built or sustained</w:t>
      </w:r>
      <w:r>
        <w:rPr>
          <w:lang w:val="en-US"/>
        </w:rPr>
        <w:t>.</w:t>
      </w:r>
      <w:r>
        <w:rPr>
          <w:lang w:val="en-US"/>
        </w:rPr>
        <w:t xml:space="preserve"> The tradition draws on Parsons's (1951) account of value integration, Weber's (1904/1949) analysis of value-relevance, and Schwartz's (1992) cross- cultural value theory. For methodological guidance see Hitlin and Piliavin (2004) and the documentation of the European Values Study and World Values Survey instruments. </w:t>
      </w:r>
    </w:p>
    <w:p w14:paraId="2BFCCE00" w14:textId="6B82F092" w:rsidR="00AC7737" w:rsidRDefault="00AC7737" w:rsidP="00675F56">
      <w:pPr>
        <w:rPr>
          <w:i/>
          <w:iCs/>
          <w:lang w:val="en-US"/>
        </w:rPr>
      </w:pPr>
      <w:r>
        <w:rPr>
          <w:i/>
          <w:iCs/>
          <w:lang w:val="en-US"/>
        </w:rPr>
        <w:t xml:space="preserve">Application of </w:t>
      </w:r>
      <w:r>
        <w:rPr>
          <w:i/>
          <w:iCs/>
          <w:lang w:val="en-US"/>
        </w:rPr>
        <w:t xml:space="preserve">the </w:t>
      </w:r>
      <w:r>
        <w:rPr>
          <w:i/>
          <w:iCs/>
          <w:lang w:val="en-US"/>
        </w:rPr>
        <w:t>method</w:t>
      </w:r>
      <w:r>
        <w:rPr>
          <w:i/>
          <w:iCs/>
          <w:lang w:val="en-US"/>
        </w:rPr>
        <w:t xml:space="preserve"> (example)</w:t>
      </w:r>
    </w:p>
    <w:p w14:paraId="68E94A2F" w14:textId="31FDB93D" w:rsidR="00AC7737" w:rsidRPr="00AC7737" w:rsidRDefault="00AC7737" w:rsidP="00675F56">
      <w:pPr>
        <w:rPr>
          <w:i/>
          <w:iCs/>
          <w:lang w:val="en-US"/>
        </w:rPr>
      </w:pPr>
      <w:r>
        <w:rPr>
          <w:i/>
          <w:iCs/>
          <w:lang w:val="en-US"/>
        </w:rPr>
        <w:t xml:space="preserve">The topic is the resilience of welfare states under fiscal pressure. The research object is the value of solidarity </w:t>
      </w:r>
      <w:r>
        <w:rPr>
          <w:i/>
          <w:iCs/>
          <w:lang w:val="en-US"/>
        </w:rPr>
        <w:t>which is</w:t>
      </w:r>
      <w:r>
        <w:rPr>
          <w:i/>
          <w:iCs/>
          <w:lang w:val="en-US"/>
        </w:rPr>
        <w:t xml:space="preserve"> understood as a durable commitment to collective provision that actors hold independently of their material interests. The method examines where that commitment came from, how widely and deeply it is held across social groups, and whether it shapes institutional decisions in ways that a material interest account cannot explain.</w:t>
      </w:r>
    </w:p>
    <w:p w14:paraId="44CE9C08" w14:textId="72A88447" w:rsidR="00675F56" w:rsidRPr="00675F56" w:rsidRDefault="00675F56" w:rsidP="00675F56">
      <w:pPr>
        <w:rPr>
          <w:lang w:val="en-US"/>
        </w:rPr>
      </w:pPr>
      <w:r>
        <w:rPr>
          <w:i/>
          <w:iCs/>
          <w:lang w:val="en-US"/>
        </w:rPr>
        <w:t>Individuals and groups</w:t>
      </w:r>
    </w:p>
    <w:p w14:paraId="4544B214" w14:textId="77777777" w:rsidR="00675F56" w:rsidRPr="00675F56" w:rsidRDefault="00675F56" w:rsidP="00675F56">
      <w:pPr>
        <w:rPr>
          <w:lang w:val="en-US"/>
        </w:rPr>
      </w:pPr>
      <w:r>
        <w:rPr>
          <w:lang w:val="en-US"/>
        </w:rPr>
        <w:t xml:space="preserve">Axiological research operates across both levels. Survey-based measurement accesses individual value priorities, while Schwartz's (1992) finding that value systems exhibit structural properties across cultures points toward collective-level value configurations with emergent properties. Archer's (1996) account of the Cultural System treats value tensions and complementarities as properties of the ideational domain that operate independently of any individual's awareness. </w:t>
      </w:r>
    </w:p>
    <w:p w14:paraId="77707491" w14:textId="76B2A6A0" w:rsidR="00675F56" w:rsidRPr="00675F56" w:rsidRDefault="00675F56" w:rsidP="00675F56">
      <w:pPr>
        <w:rPr>
          <w:lang w:val="en-US"/>
        </w:rPr>
      </w:pPr>
      <w:r>
        <w:rPr>
          <w:i/>
          <w:iCs/>
          <w:lang w:val="en-US"/>
        </w:rPr>
        <w:t xml:space="preserve">Material and ideational </w:t>
      </w:r>
    </w:p>
    <w:p w14:paraId="3034CD92" w14:textId="77777777" w:rsidR="00675F56" w:rsidRPr="00675F56" w:rsidRDefault="00675F56" w:rsidP="00675F56">
      <w:pPr>
        <w:rPr>
          <w:lang w:val="en-US"/>
        </w:rPr>
      </w:pPr>
      <w:r>
        <w:rPr>
          <w:lang w:val="en-US"/>
        </w:rPr>
        <w:t xml:space="preserve">Axiological research is explicitly ideationalist in orientation, treating value orientations as possessing causal powers not derivable from material conditions or interests alone. Hitlin and Piliavin's (2004) review demonstrates that values predict action above and beyond material incentives, establishing partial causal independence. Sayer's (2011) </w:t>
      </w:r>
      <w:r>
        <w:rPr>
          <w:i/>
          <w:iCs/>
          <w:lang w:val="en-US"/>
        </w:rPr>
        <w:t xml:space="preserve">Why Things Matter to People </w:t>
      </w:r>
      <w:r>
        <w:rPr>
          <w:lang w:val="en-US"/>
        </w:rPr>
        <w:t xml:space="preserve">provides a grounding for this claim. </w:t>
      </w:r>
    </w:p>
    <w:p w14:paraId="74BF2D48" w14:textId="3028AE97" w:rsidR="00675F56" w:rsidRPr="00675F56" w:rsidRDefault="00675F56" w:rsidP="00675F56">
      <w:pPr>
        <w:rPr>
          <w:lang w:val="en-US"/>
        </w:rPr>
      </w:pPr>
      <w:r>
        <w:rPr>
          <w:i/>
          <w:iCs/>
          <w:lang w:val="en-US"/>
        </w:rPr>
        <w:t xml:space="preserve">Transcendence and immanence </w:t>
      </w:r>
    </w:p>
    <w:p w14:paraId="65391BCA" w14:textId="77777777" w:rsidR="00675F56" w:rsidRPr="00675F56" w:rsidRDefault="00675F56" w:rsidP="00675F56">
      <w:pPr>
        <w:rPr>
          <w:lang w:val="en-US"/>
        </w:rPr>
      </w:pPr>
      <w:r>
        <w:rPr>
          <w:lang w:val="en-US"/>
        </w:rPr>
        <w:t xml:space="preserve">Schwartz's cross-cultural work occupies a qualified transcendent position: the structural dimensions of value space are claimed to be universal, while the distribution of priorities within them is contextually constituted. This combination requires methods </w:t>
        <w:lastRenderedPageBreak/>
        <w:t xml:space="preserve">capable of distinguishing universal structural properties from contextually variable expressions. </w:t>
      </w:r>
    </w:p>
    <w:p w14:paraId="5AEBFF4E" w14:textId="77777777" w:rsidR="00675F56" w:rsidRPr="00675F56" w:rsidRDefault="00675F56" w:rsidP="00675F56">
      <w:pPr>
        <w:rPr>
          <w:lang w:val="en-US"/>
        </w:rPr>
      </w:pPr>
      <w:r>
        <w:rPr>
          <w:i/>
          <w:iCs/>
          <w:lang w:val="en-US"/>
        </w:rPr>
        <w:t xml:space="preserve">Characteristic limits </w:t>
      </w:r>
    </w:p>
    <w:p w14:paraId="2AAE34E5" w14:textId="77777777" w:rsidR="00675F56" w:rsidRPr="00675F56" w:rsidRDefault="00675F56" w:rsidP="00675F56">
      <w:pPr>
        <w:rPr>
          <w:lang w:val="en-US"/>
        </w:rPr>
      </w:pPr>
      <w:r>
        <w:rPr>
          <w:lang w:val="en-US"/>
        </w:rPr>
        <w:t xml:space="preserve">Axiological research risks collapsing the distinction between values as cultural system properties and values as individual psychological dispositions. Survey measurement necessarily accesses the latter, and inferring the former from aggregated individual responses requires explicit theoretical argument. Longitudinal or experimental designs are needed to address whether values cause action or are post-hoc rationalizations of materially constrained behavior. </w:t>
      </w:r>
    </w:p>
    <w:p w14:paraId="782FFBB2" w14:textId="77777777" w:rsidR="00675F56" w:rsidRPr="00675F56" w:rsidRDefault="00675F56" w:rsidP="00675F56">
      <w:pPr>
        <w:pStyle w:val="Heading3"/>
        <w:rPr>
          <w:lang w:val="en-US"/>
        </w:rPr>
      </w:pPr>
      <w:r>
        <w:rPr>
          <w:b/>
          <w:bCs/>
          <w:i/>
          <w:iCs/>
          <w:lang w:val="en-US"/>
        </w:rPr>
        <w:t xml:space="preserve">11.3.3 Biographical and Life History Methods </w:t>
      </w:r>
    </w:p>
    <w:p w14:paraId="63D7D8F1" w14:textId="77777777" w:rsidR="00675F56" w:rsidRDefault="00675F56" w:rsidP="00675F56">
      <w:pPr>
        <w:rPr>
          <w:lang w:val="en-US"/>
        </w:rPr>
      </w:pPr>
      <w:r>
        <w:rPr>
          <w:lang w:val="en-US"/>
        </w:rPr>
        <w:t xml:space="preserve">Biographical and life history methods investigate how individuals experience and navigate their social worlds over time, generating accounts of how structural conditions, cultural frameworks, and personal choices interact across a life trajectory. Data are gathered through extended narrative interviews, sometimes supplemented by documents and diaries, and analyzed to identify the interplay of social conditioning and individual response. The tradition draws on Thomas and Znaniecki's (1918) foundational work. For methodological guidance see Chamberlayne, Bornat, and Wengraf (2000) </w:t>
      </w:r>
      <w:r>
        <w:rPr>
          <w:i/>
          <w:iCs/>
          <w:lang w:val="en-US"/>
        </w:rPr>
        <w:t xml:space="preserve">The Turn to Biographical Methods in Social Science </w:t>
      </w:r>
      <w:r>
        <w:rPr>
          <w:lang w:val="en-US"/>
        </w:rPr>
        <w:t xml:space="preserve">and Goodson and Sikes (2001) </w:t>
      </w:r>
      <w:r>
        <w:rPr>
          <w:i/>
          <w:iCs/>
          <w:lang w:val="en-US"/>
        </w:rPr>
        <w:t>Life History Research in Educational Settings</w:t>
      </w:r>
      <w:r>
        <w:rPr>
          <w:lang w:val="en-US"/>
        </w:rPr>
        <w:t xml:space="preserve">. </w:t>
      </w:r>
    </w:p>
    <w:p w14:paraId="57FA425C" w14:textId="618FAB00" w:rsidR="00983446" w:rsidRDefault="00983446" w:rsidP="00675F56">
      <w:pPr>
        <w:rPr>
          <w:lang w:val="en-US"/>
        </w:rPr>
      </w:pPr>
      <w:r>
        <w:rPr>
          <w:lang w:val="en-US"/>
        </w:rPr>
        <w:t xml:space="preserve">Application of the method (example) </w:t>
      </w:r>
    </w:p>
    <w:p w14:paraId="4F8EE9A9" w14:textId="1BD387EF" w:rsidR="00983446" w:rsidRPr="00983446" w:rsidRDefault="00983446" w:rsidP="00675F56">
      <w:pPr>
        <w:rPr>
          <w:lang w:val="en-US"/>
        </w:rPr>
      </w:pPr>
      <w:r>
        <w:rPr>
          <w:lang w:val="en-US"/>
        </w:rPr>
        <w:t xml:space="preserve">The topic is the </w:t>
      </w:r>
      <w:r>
        <w:rPr>
          <w:lang w:val="en-US"/>
        </w:rPr>
        <w:t>labour</w:t>
      </w:r>
      <w:r>
        <w:rPr>
          <w:lang w:val="en-US"/>
        </w:rPr>
        <w:t xml:space="preserve"> market integration of migrants in a city like Rotterdam. The research object is the individual life trajectory — understood as the unfolding interaction between structural conditions such as immigration policy and </w:t>
      </w:r>
      <w:r>
        <w:rPr>
          <w:lang w:val="en-US"/>
        </w:rPr>
        <w:t>labour</w:t>
      </w:r>
      <w:r>
        <w:rPr>
          <w:lang w:val="en-US"/>
        </w:rPr>
        <w:t xml:space="preserve"> market access, and the personal choices and cultural frameworks the individual brings to navigating them. The method gathers extended narrative accounts of how that trajectory developed over time, examining where structural conditions opened or closed opportunities and how the individual responded to and made sense of those conditions at each stage</w:t>
      </w:r>
      <w:r>
        <w:rPr>
          <w:lang w:val="en-US"/>
        </w:rPr>
        <w:t xml:space="preserve">. </w:t>
      </w:r>
    </w:p>
    <w:p w14:paraId="6AAA8A5D" w14:textId="46B5ECD2" w:rsidR="00675F56" w:rsidRPr="00675F56" w:rsidRDefault="00675F56" w:rsidP="00675F56">
      <w:pPr>
        <w:rPr>
          <w:lang w:val="en-US"/>
        </w:rPr>
      </w:pPr>
      <w:r>
        <w:rPr>
          <w:i/>
          <w:iCs/>
          <w:lang w:val="en-US"/>
        </w:rPr>
        <w:t>Individuals and groups</w:t>
      </w:r>
    </w:p>
    <w:p w14:paraId="2B8AF272" w14:textId="77777777" w:rsidR="00675F56" w:rsidRPr="00675F56" w:rsidDel="00983446" w:rsidRDefault="00675F56" w:rsidP="00675F56">
      <w:pPr>
        <w:rPr>
          <w:lang w:val="en-US"/>
        </w:rPr>
      </w:pPr>
      <w:r>
        <w:rPr>
          <w:lang w:val="en-US"/>
        </w:rPr>
        <w:t xml:space="preserve">Biographical methods are oriented toward the individual as the unit of analysis, but their analytical interest lies precisely in how individual trajectories are shaped by and refracted through collective conditions. The method investigates individuals not as self-contained units but as bearers of social positions, cultural inheritances, and relational histories. </w:t>
      </w:r>
    </w:p>
    <w:p w14:paraId="0C83BF08" w14:textId="77777777" w:rsidR="00675F56" w:rsidRPr="00675F56" w:rsidRDefault="00675F56" w:rsidP="00675F56">
      <w:pPr>
        <w:rPr>
          <w:lang w:val="en-US"/>
        </w:rPr>
      </w:pPr>
    </w:p>
    <w:p w14:paraId="3544518D" w14:textId="77777777" w:rsidR="00675F56" w:rsidRPr="00675F56" w:rsidRDefault="00675F56" w:rsidP="00675F56">
      <w:pPr>
        <w:rPr>
          <w:lang w:val="en-US"/>
        </w:rPr>
      </w:pPr>
      <w:r>
        <w:rPr>
          <w:i/>
          <w:iCs/>
          <w:lang w:val="en-US"/>
        </w:rPr>
        <w:t xml:space="preserve">Structure and agency </w:t>
      </w:r>
    </w:p>
    <w:p w14:paraId="18F9582E" w14:textId="77777777" w:rsidR="00675F56" w:rsidRPr="00675F56" w:rsidRDefault="00675F56" w:rsidP="00675F56">
      <w:pPr>
        <w:rPr>
          <w:lang w:val="en-US"/>
        </w:rPr>
      </w:pPr>
      <w:r>
        <w:rPr>
          <w:lang w:val="en-US"/>
        </w:rPr>
        <w:t xml:space="preserve">Biographical methods are well suited to investigating agency operating within structural constraint, accessing how individuals interpret their situations, make choices, and </w:t>
        <w:lastRenderedPageBreak/>
        <w:t xml:space="preserve">sometimes resist or transform their structural positions through sustained action. Demonstrating that structural conditions operate independently of actors' awareness requires supplementary methods beyond the biographical account itself. </w:t>
      </w:r>
    </w:p>
    <w:p w14:paraId="30B89AE7" w14:textId="77777777" w:rsidR="00675F56" w:rsidRPr="00675F56" w:rsidRDefault="00675F56" w:rsidP="00675F56">
      <w:pPr>
        <w:rPr>
          <w:lang w:val="en-US"/>
        </w:rPr>
      </w:pPr>
      <w:r>
        <w:rPr>
          <w:i/>
          <w:iCs/>
          <w:lang w:val="en-US"/>
        </w:rPr>
        <w:t xml:space="preserve">Transcendence and immanence </w:t>
      </w:r>
    </w:p>
    <w:p w14:paraId="351B609E" w14:textId="77777777" w:rsidR="00675F56" w:rsidRPr="00675F56" w:rsidRDefault="00675F56" w:rsidP="00675F56">
      <w:pPr>
        <w:rPr>
          <w:lang w:val="en-US"/>
        </w:rPr>
      </w:pPr>
      <w:r>
        <w:rPr>
          <w:lang w:val="en-US"/>
        </w:rPr>
        <w:t xml:space="preserve">Biographical research is strongly immanentist, emphasizing the contextual specificity of individual experience and the particularity of each life trajectory. Theoretical generalization proceeds from depth of engagement with individual particularity rather than from statistical aggregation. </w:t>
      </w:r>
    </w:p>
    <w:p w14:paraId="765658EC" w14:textId="77777777" w:rsidR="00675F56" w:rsidRPr="00675F56" w:rsidRDefault="00675F56" w:rsidP="00675F56">
      <w:pPr>
        <w:rPr>
          <w:lang w:val="en-US"/>
        </w:rPr>
      </w:pPr>
      <w:r>
        <w:rPr>
          <w:i/>
          <w:iCs/>
          <w:lang w:val="en-US"/>
        </w:rPr>
        <w:t xml:space="preserve">Characteristic limits </w:t>
      </w:r>
    </w:p>
    <w:p w14:paraId="699E5988" w14:textId="1725478E" w:rsidR="00675F56" w:rsidRPr="00675F56" w:rsidRDefault="00675F56" w:rsidP="00675F56">
      <w:pPr>
        <w:rPr>
          <w:lang w:val="en-US"/>
        </w:rPr>
      </w:pPr>
      <w:r>
        <w:rPr>
          <w:lang w:val="en-US"/>
        </w:rPr>
        <w:t xml:space="preserve">Biographical methods cannot establish that structural conditions generate life outcomes independently of the individual's interpretive response, since the method accesses structural conditions primarily through the account the individual gives. Researchers for whom structural causation acts independently of actors' awareness is central and will need to combine biographical analysis with structural methods. </w:t>
      </w:r>
    </w:p>
    <w:p w14:paraId="7ADDA3B9" w14:textId="77777777" w:rsidR="00675F56" w:rsidRPr="00675F56" w:rsidRDefault="00675F56" w:rsidP="00675F56">
      <w:pPr>
        <w:pStyle w:val="Heading3"/>
        <w:rPr>
          <w:lang w:val="en-US"/>
        </w:rPr>
      </w:pPr>
      <w:r>
        <w:rPr>
          <w:b/>
          <w:bCs/>
          <w:i/>
          <w:iCs/>
          <w:lang w:val="en-US"/>
        </w:rPr>
        <w:t xml:space="preserve">11.3.4 Case Study Research </w:t>
      </w:r>
    </w:p>
    <w:p w14:paraId="23DEF0F0" w14:textId="77777777" w:rsidR="00675F56" w:rsidRDefault="00675F56" w:rsidP="00675F56">
      <w:pPr>
        <w:rPr>
          <w:lang w:val="en-US"/>
        </w:rPr>
      </w:pPr>
      <w:r>
        <w:rPr>
          <w:lang w:val="en-US"/>
        </w:rPr>
        <w:t xml:space="preserve">Case study research involves intensive investigation of a single instance or small number of instances of a phenomenon, examined in depth and in context. The case may be a person, organization, event, decision, or community; what defines the method is the commitment to understanding the case as a whole within its particular setting. For methodological guidance see Yin (2018) </w:t>
      </w:r>
      <w:r>
        <w:rPr>
          <w:i/>
          <w:iCs/>
          <w:lang w:val="en-US"/>
        </w:rPr>
        <w:t>Case Study Research: Design and Methods</w:t>
      </w:r>
      <w:r>
        <w:rPr>
          <w:lang w:val="en-US"/>
        </w:rPr>
        <w:t xml:space="preserve">, Stake (1995) </w:t>
      </w:r>
      <w:r>
        <w:rPr>
          <w:i/>
          <w:iCs/>
          <w:lang w:val="en-US"/>
        </w:rPr>
        <w:t>The Art of Case Study Research</w:t>
      </w:r>
      <w:r>
        <w:rPr>
          <w:lang w:val="en-US"/>
        </w:rPr>
        <w:t xml:space="preserve">, and Gerring (2007) </w:t>
      </w:r>
      <w:r>
        <w:rPr>
          <w:i/>
          <w:iCs/>
          <w:lang w:val="en-US"/>
        </w:rPr>
        <w:t>Case Study Research: Principles and Practices</w:t>
      </w:r>
      <w:r>
        <w:rPr>
          <w:lang w:val="en-US"/>
        </w:rPr>
        <w:t xml:space="preserve">. </w:t>
      </w:r>
    </w:p>
    <w:p w14:paraId="399B6890" w14:textId="539DF407" w:rsidR="0027704E" w:rsidRDefault="0027704E" w:rsidP="00675F56">
      <w:pPr>
        <w:rPr>
          <w:lang w:val="en-US"/>
        </w:rPr>
      </w:pPr>
      <w:r>
        <w:rPr>
          <w:lang w:val="en-US"/>
        </w:rPr>
        <w:t>Application of the method (example)</w:t>
      </w:r>
    </w:p>
    <w:p w14:paraId="2A3BBDA4" w14:textId="1054F6BA" w:rsidR="0027704E" w:rsidRPr="00675F56" w:rsidRDefault="0027704E" w:rsidP="00675F56">
      <w:pPr>
        <w:rPr>
          <w:lang w:val="en-US"/>
        </w:rPr>
      </w:pPr>
      <w:r>
        <w:rPr>
          <w:lang w:val="en-US"/>
        </w:rPr>
        <w:t xml:space="preserve">The topic is how second-generation Turkish migrants in Berlin navigate competing cultural expectations between their family environment and the broader German society. The research object </w:t>
      </w:r>
      <w:r>
        <w:rPr>
          <w:lang w:val="en-US"/>
        </w:rPr>
        <w:t xml:space="preserve">is a particular </w:t>
      </w:r>
      <w:r>
        <w:rPr>
          <w:lang w:val="en-US"/>
        </w:rPr>
        <w:t xml:space="preserve">community </w:t>
      </w:r>
      <w:r>
        <w:rPr>
          <w:lang w:val="en-US"/>
        </w:rPr>
        <w:t xml:space="preserve">of Turkish migrants - </w:t>
      </w:r>
      <w:r>
        <w:rPr>
          <w:lang w:val="en-US"/>
        </w:rPr>
        <w:t xml:space="preserve">understood </w:t>
      </w:r>
      <w:r>
        <w:rPr>
          <w:lang w:val="en-US"/>
        </w:rPr>
        <w:t xml:space="preserve">through their </w:t>
      </w:r>
      <w:r>
        <w:rPr>
          <w:lang w:val="en-US"/>
        </w:rPr>
        <w:t xml:space="preserve">family structures, cultural frameworks, and everyday social encounters that shape how members respond to those </w:t>
      </w:r>
      <w:r>
        <w:rPr>
          <w:lang w:val="en-US"/>
        </w:rPr>
        <w:t>cultural</w:t>
      </w:r>
      <w:r>
        <w:rPr>
          <w:lang w:val="en-US"/>
        </w:rPr>
        <w:t xml:space="preserve"> demands. The method investigates the community in depth and in context, tracing how inherited cultural commitments interact with the expectations of the surrounding society and how individuals negotiate between the two</w:t>
      </w:r>
      <w:r>
        <w:rPr>
          <w:lang w:val="en-US"/>
        </w:rPr>
        <w:t>. G</w:t>
      </w:r>
      <w:r>
        <w:rPr>
          <w:lang w:val="en-US"/>
        </w:rPr>
        <w:t xml:space="preserve">enerating findings that can, through analytical </w:t>
      </w:r>
      <w:r>
        <w:rPr>
          <w:lang w:val="en-US"/>
        </w:rPr>
        <w:t>generalisation</w:t>
      </w:r>
      <w:r>
        <w:rPr>
          <w:lang w:val="en-US"/>
        </w:rPr>
        <w:t>, contribute to broader theoretical propositions about how migrant communities navigate cultural integration.</w:t>
      </w:r>
    </w:p>
    <w:p w14:paraId="3ACDDD10" w14:textId="77777777" w:rsidR="00675F56" w:rsidRPr="00675F56" w:rsidRDefault="00675F56" w:rsidP="00675F56">
      <w:pPr>
        <w:rPr>
          <w:lang w:val="en-US"/>
        </w:rPr>
      </w:pPr>
      <w:r>
        <w:rPr>
          <w:i/>
          <w:iCs/>
          <w:lang w:val="en-US"/>
        </w:rPr>
        <w:t xml:space="preserve">Individuals and groups </w:t>
      </w:r>
    </w:p>
    <w:p w14:paraId="06A6794C" w14:textId="77777777" w:rsidR="00675F56" w:rsidRPr="00675F56" w:rsidRDefault="00675F56" w:rsidP="00675F56">
      <w:pPr>
        <w:rPr>
          <w:lang w:val="en-US"/>
        </w:rPr>
      </w:pPr>
      <w:r>
        <w:rPr>
          <w:lang w:val="en-US"/>
        </w:rPr>
        <w:t xml:space="preserve">Case study research is flexible across positions. Cases may be individuals, collectives, or institutions, and the method does not prescribe which level of social reality is </w:t>
        <w:lastRenderedPageBreak/>
        <w:t xml:space="preserve">primary. Its analytical strength is in capturing the internal complexity of whatever unit is under investigation. </w:t>
      </w:r>
    </w:p>
    <w:p w14:paraId="3B87FADA" w14:textId="77777777" w:rsidR="00675F56" w:rsidRPr="00675F56" w:rsidRDefault="00675F56" w:rsidP="00675F56">
      <w:pPr>
        <w:rPr>
          <w:lang w:val="en-US"/>
        </w:rPr>
      </w:pPr>
      <w:r>
        <w:rPr>
          <w:i/>
          <w:iCs/>
          <w:lang w:val="en-US"/>
        </w:rPr>
        <w:t xml:space="preserve">Structure and agency </w:t>
      </w:r>
    </w:p>
    <w:p w14:paraId="6AAF5768" w14:textId="77777777" w:rsidR="00675F56" w:rsidRPr="00675F56" w:rsidRDefault="00675F56" w:rsidP="00675F56">
      <w:pPr>
        <w:rPr>
          <w:lang w:val="en-US"/>
        </w:rPr>
      </w:pPr>
      <w:r>
        <w:rPr>
          <w:lang w:val="en-US"/>
        </w:rPr>
        <w:t xml:space="preserve">Case studies are productive for examining how structure and agency interact within a specific setting, tracing how inherited conditions shape what forms of action are available and how agential responses feed back into those conditions over time. </w:t>
      </w:r>
    </w:p>
    <w:p w14:paraId="63B9254B" w14:textId="77777777" w:rsidR="00675F56" w:rsidRPr="00675F56" w:rsidRDefault="00675F56" w:rsidP="00675F56">
      <w:pPr>
        <w:rPr>
          <w:lang w:val="en-US"/>
        </w:rPr>
      </w:pPr>
      <w:r>
        <w:rPr>
          <w:i/>
          <w:iCs/>
          <w:lang w:val="en-US"/>
        </w:rPr>
        <w:t xml:space="preserve">Transcendence and immanence </w:t>
      </w:r>
    </w:p>
    <w:p w14:paraId="50D89965" w14:textId="77777777" w:rsidR="00675F56" w:rsidRPr="00675F56" w:rsidRDefault="00675F56" w:rsidP="00675F56">
      <w:pPr>
        <w:rPr>
          <w:lang w:val="en-US"/>
        </w:rPr>
      </w:pPr>
      <w:r>
        <w:rPr>
          <w:lang w:val="en-US"/>
        </w:rPr>
        <w:t xml:space="preserve">Case study research sits in productive tension. Its logic is primarily immanentist, attending to contextual specificity. However, Yin's (2018) concept of analytical generalization allows case findings to contribute to theoretical propositions that travel beyond the specific instance. Gerring's (2007) account of typicality and deviance as case selection criteria systematizes the conditions under which such generalization is defensible. </w:t>
      </w:r>
    </w:p>
    <w:p w14:paraId="208187CB" w14:textId="77777777" w:rsidR="00675F56" w:rsidRPr="00675F56" w:rsidRDefault="00675F56" w:rsidP="00675F56">
      <w:pPr>
        <w:rPr>
          <w:lang w:val="en-US"/>
        </w:rPr>
      </w:pPr>
      <w:r>
        <w:rPr>
          <w:i/>
          <w:iCs/>
          <w:lang w:val="en-US"/>
        </w:rPr>
        <w:t xml:space="preserve">Characteristic limits </w:t>
      </w:r>
    </w:p>
    <w:p w14:paraId="244330E4" w14:textId="77777777" w:rsidR="00675F56" w:rsidRPr="00675F56" w:rsidDel="00323751" w:rsidRDefault="00675F56" w:rsidP="00675F56">
      <w:pPr>
        <w:rPr>
          <w:lang w:val="en-US"/>
        </w:rPr>
      </w:pPr>
      <w:r>
        <w:rPr>
          <w:lang w:val="en-US"/>
        </w:rPr>
        <w:t xml:space="preserve">Case study research cannot establish population-level prevalence claims, and findings about mechanisms in one context require explicit theoretical argument to extend to others — a restriction that follows from its primarily immanentist orientation toward contextual depth rather than cross-contextual coverage. Single-case designs are particularly vulnerable to concerns about representativeness, making case selection and justification critical methodological decisions. </w:t>
      </w:r>
    </w:p>
    <w:p w14:paraId="40B772DF" w14:textId="77777777" w:rsidR="00675F56" w:rsidRPr="00675F56" w:rsidRDefault="00675F56" w:rsidP="00675F56">
      <w:pPr>
        <w:rPr>
          <w:lang w:val="en-US"/>
        </w:rPr>
      </w:pPr>
    </w:p>
    <w:p w14:paraId="58BE98E5" w14:textId="77777777" w:rsidR="00675F56" w:rsidRPr="00675F56" w:rsidRDefault="00675F56" w:rsidP="00675F56">
      <w:pPr>
        <w:pStyle w:val="Heading3"/>
        <w:rPr>
          <w:lang w:val="en-US"/>
        </w:rPr>
      </w:pPr>
      <w:r>
        <w:rPr>
          <w:b/>
          <w:bCs/>
          <w:i/>
          <w:iCs/>
          <w:lang w:val="en-US"/>
        </w:rPr>
        <w:t xml:space="preserve">11.3.5 Cohort Analysis </w:t>
      </w:r>
    </w:p>
    <w:p w14:paraId="22FC78C3" w14:textId="770E658D" w:rsidR="00675F56" w:rsidRPr="00675F56" w:rsidRDefault="00675F56" w:rsidP="00675F56">
      <w:pPr>
        <w:rPr>
          <w:lang w:val="en-US"/>
        </w:rPr>
      </w:pPr>
      <w:r>
        <w:rPr>
          <w:lang w:val="en-US"/>
        </w:rPr>
        <w:t xml:space="preserve">Cohort analysis examines how groups sharing a significant experience at the same historical moment, typically by birth year or mutual entry into a social institution, develop differently from groups undergoing the same experience at a different time/context. The method distinguishes age effects, time period effects, and cohort effects, enabling researchers to isolate the influence of historical timing on life trajectories. The method was given its foundational sociological statement by Ryder (1965). For methodological guidance see Glenn (2005) </w:t>
      </w:r>
      <w:r>
        <w:rPr>
          <w:i/>
          <w:iCs/>
          <w:lang w:val="en-US"/>
        </w:rPr>
        <w:t xml:space="preserve">Cohort Analysis </w:t>
      </w:r>
      <w:r>
        <w:rPr>
          <w:lang w:val="en-US"/>
        </w:rPr>
        <w:t xml:space="preserve">and Yang and Land (2013) </w:t>
      </w:r>
      <w:r>
        <w:rPr>
          <w:i/>
          <w:iCs/>
          <w:lang w:val="en-US"/>
        </w:rPr>
        <w:t>Age-Period-Cohort Analysis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the timing of labour market entry shapes long-run earnings trajectories. The research object is the cohort — individuals who entered the labour market during the 2008 financial crisis — understood as a collectivity shaped by a shared historical condition rather than a statistical aggregate. The method separates the cohort effect (entry during recession) from age effects (career stage) and period effects (conditions affecting all workers simultaneously), identifying how the structural conditions prevailing at a formative moment left durable imprints on subsequent trajectories.</w:t>
      </w:r>
    </w:p>
    <w:p w14:paraId="4AB19613" w14:textId="77777777" w:rsidR="00675F56" w:rsidRPr="00675F56" w:rsidRDefault="00675F56" w:rsidP="00675F56">
      <w:pPr>
        <w:rPr>
          <w:lang w:val="en-US"/>
        </w:rPr>
      </w:pPr>
      <w:r>
        <w:rPr>
          <w:i/>
          <w:iCs/>
          <w:lang w:val="en-US"/>
        </w:rPr>
        <w:t xml:space="preserve">Individuals and groups </w:t>
      </w:r>
    </w:p>
    <w:p w14:paraId="19D72A73" w14:textId="77777777" w:rsidR="00675F56" w:rsidRPr="00675F56" w:rsidRDefault="00675F56" w:rsidP="00675F56">
      <w:pPr>
        <w:rPr>
          <w:lang w:val="en-US"/>
        </w:rPr>
      </w:pPr>
      <w:r>
        <w:rPr>
          <w:lang w:val="en-US"/>
        </w:rPr>
        <w:t xml:space="preserve">Cohort analysis is primarily individualist in its unit of measurement, tracking outcomes for individuals grouped by birth year or entry cohort, but its analytical interest is in how historical and structural conditions shape entire cohorts as collectivities. Elder's (1999) analysis of Depression-era cohorts demonstrated structural conditioning operating at the collective level. </w:t>
      </w:r>
    </w:p>
    <w:p w14:paraId="6E84458E" w14:textId="77777777" w:rsidR="00675F56" w:rsidRPr="00675F56" w:rsidRDefault="00675F56" w:rsidP="00675F56">
      <w:pPr>
        <w:rPr>
          <w:lang w:val="en-US"/>
        </w:rPr>
      </w:pPr>
      <w:r>
        <w:rPr>
          <w:i/>
          <w:iCs/>
          <w:lang w:val="en-US"/>
        </w:rPr>
        <w:t xml:space="preserve">Structure and agency </w:t>
      </w:r>
    </w:p>
    <w:p w14:paraId="636D593C" w14:textId="77777777" w:rsidR="00675F56" w:rsidRPr="00675F56" w:rsidRDefault="00675F56" w:rsidP="00675F56">
      <w:pPr>
        <w:rPr>
          <w:lang w:val="en-US"/>
        </w:rPr>
      </w:pPr>
      <w:r>
        <w:rPr>
          <w:lang w:val="en-US"/>
        </w:rPr>
        <w:lastRenderedPageBreak/>
        <w:t xml:space="preserve">Cohort analysis is oriented toward structural conditioning. It demonstrates that life outcomes are shaped by structural conditions prevailing at critical moments in the life course, independently of individual characteristics. Individuals cannot choose their birth cohort or control the historical conditions encountered at formative life stages; cohort effects are a methodological signature of structural causation. </w:t>
      </w:r>
    </w:p>
    <w:p w14:paraId="75054E5A" w14:textId="77777777" w:rsidR="00675F56" w:rsidRPr="00675F56" w:rsidRDefault="00675F56" w:rsidP="00675F56">
      <w:pPr>
        <w:rPr>
          <w:lang w:val="en-US"/>
        </w:rPr>
      </w:pPr>
      <w:r>
        <w:rPr>
          <w:i/>
          <w:iCs/>
          <w:lang w:val="en-US"/>
        </w:rPr>
        <w:t xml:space="preserve">Transcendence and immanence </w:t>
      </w:r>
    </w:p>
    <w:p w14:paraId="679BC0B0" w14:textId="77777777" w:rsidR="00675F56" w:rsidRPr="00675F56" w:rsidRDefault="00675F56" w:rsidP="00675F56">
      <w:pPr>
        <w:rPr>
          <w:lang w:val="en-US"/>
        </w:rPr>
      </w:pPr>
      <w:r>
        <w:rPr>
          <w:lang w:val="en-US"/>
        </w:rPr>
        <w:t xml:space="preserve">Cohort analysis can support either position. Finding that cohort effects operate similarly across different national or cultural contexts supports transcendent structural mechanisms; finding that cohort effects are specific to particular historical and institutional configurations supports immanence. </w:t>
      </w:r>
    </w:p>
    <w:p w14:paraId="5D3C12A7" w14:textId="77777777" w:rsidR="00675F56" w:rsidRPr="00675F56" w:rsidRDefault="00675F56" w:rsidP="00675F56">
      <w:pPr>
        <w:rPr>
          <w:lang w:val="en-US"/>
        </w:rPr>
      </w:pPr>
      <w:r>
        <w:rPr>
          <w:i/>
          <w:iCs/>
          <w:lang w:val="en-US"/>
        </w:rPr>
        <w:t xml:space="preserve">Characteristic limits </w:t>
      </w:r>
    </w:p>
    <w:p w14:paraId="64A46E07" w14:textId="77777777" w:rsidR="00675F56" w:rsidRPr="00675F56" w:rsidRDefault="00675F56" w:rsidP="00675F56">
      <w:pPr>
        <w:rPr>
          <w:lang w:val="en-US"/>
        </w:rPr>
      </w:pPr>
      <w:r>
        <w:rPr>
          <w:lang w:val="en-US"/>
        </w:rPr>
        <w:t xml:space="preserve">Cohort analysis faces the age-period-cohort identification problem: since age, period, and cohort are mathematically dependent, it is logically impossible to estimate all three effects simultaneously without additional assumptions. Finding cohort effects also does not definitively establish structural causation, since cohorts differ in cultural experiences and socialization patterns as well as in structural context. </w:t>
      </w:r>
    </w:p>
    <w:p w14:paraId="131DE8D3" w14:textId="77777777" w:rsidR="00675F56" w:rsidRPr="00675F56" w:rsidRDefault="00675F56" w:rsidP="00675F56">
      <w:pPr>
        <w:pStyle w:val="Heading3"/>
        <w:rPr>
          <w:lang w:val="en-US"/>
        </w:rPr>
      </w:pPr>
      <w:r>
        <w:rPr>
          <w:b/>
          <w:bCs/>
          <w:i/>
          <w:iCs/>
          <w:lang w:val="en-US"/>
        </w:rPr>
        <w:t xml:space="preserve">11.3.6 Comparative Case Analysis </w:t>
      </w:r>
    </w:p>
    <w:p w14:paraId="4AC2B588" w14:textId="77777777" w:rsidR="001E4D27" w:rsidRDefault="00675F56" w:rsidP="00675F56">
      <w:pPr>
        <w:rPr>
          <w:lang w:val="en-US"/>
        </w:rPr>
      </w:pPr>
      <w:r>
        <w:rPr>
          <w:lang w:val="en-US"/>
        </w:rPr>
        <w:t xml:space="preserve">Comparative case analysis examines a moderate number of cases as holistic configurations rather than as collections of independent variables, identifying how conditions combine within cases to produce outcomes and comparing configurations across cases to reveal patterns. </w:t>
      </w:r>
    </w:p>
    <w:p w14:paraId="71DB01FF" w14:textId="026DCF7E" w:rsidR="001E4D27" w:rsidRDefault="001E4D27" w:rsidP="00675F56">
      <w:pPr>
        <w:rPr>
          <w:lang w:val="en-US"/>
        </w:rPr>
      </w:pPr>
      <w:r>
        <w:rPr>
          <w:lang w:val="en-US"/>
        </w:rPr>
        <w:t>Comparative case analysis examines a moderate number of cases</w:t>
      </w:r>
      <w:r>
        <w:rPr>
          <w:lang w:val="en-US"/>
        </w:rPr>
        <w:t xml:space="preserve"> (2-</w:t>
      </w:r>
      <w:r>
        <w:rPr>
          <w:lang w:val="en-US"/>
        </w:rPr>
        <w:t>20?)</w:t>
      </w:r>
      <w:r>
        <w:rPr>
          <w:lang w:val="en-US"/>
        </w:rPr>
        <w:t xml:space="preserve"> as holistic configurations rather than as collections of independent variables. It identifies how conditions combine within each case to produce outcomes, and </w:t>
      </w:r>
      <w:r>
        <w:rPr>
          <w:lang w:val="en-US"/>
        </w:rPr>
        <w:t xml:space="preserve">then </w:t>
      </w:r>
      <w:r>
        <w:rPr>
          <w:lang w:val="en-US"/>
        </w:rPr>
        <w:t xml:space="preserve">compares those configurations across cases to reveal </w:t>
      </w:r>
      <w:r>
        <w:rPr>
          <w:lang w:val="en-US"/>
        </w:rPr>
        <w:t xml:space="preserve">any </w:t>
      </w:r>
      <w:r>
        <w:rPr>
          <w:lang w:val="en-US"/>
        </w:rPr>
        <w:t>recurring patterns.</w:t>
      </w:r>
    </w:p>
    <w:p w14:paraId="7D7997CD" w14:textId="60738503" w:rsidR="00675F56" w:rsidRPr="00675F56" w:rsidRDefault="00675F56" w:rsidP="00675F56">
      <w:pPr>
        <w:rPr>
          <w:lang w:val="en-US"/>
        </w:rPr>
      </w:pPr>
      <w:r>
        <w:rPr>
          <w:lang w:val="en-US"/>
        </w:rPr>
        <w:t xml:space="preserve">The approach treats cases as wholes in which factors are relationally constituted and conjuncturally combined. The tradition has been developed by Ragin (1987) </w:t>
      </w:r>
      <w:r>
        <w:rPr>
          <w:i/>
          <w:iCs/>
          <w:lang w:val="en-US"/>
        </w:rPr>
        <w:t xml:space="preserve">The Comparative Method </w:t>
      </w:r>
      <w:r>
        <w:rPr>
          <w:lang w:val="en-US"/>
        </w:rPr>
        <w:t xml:space="preserve">and extended through fuzzy-set analysis in Ragin (2008) </w:t>
      </w:r>
      <w:r>
        <w:rPr>
          <w:i/>
          <w:iCs/>
          <w:lang w:val="en-US"/>
        </w:rPr>
        <w:t>Redesigning Social Inquiry</w:t>
      </w:r>
      <w:r>
        <w:rPr>
          <w:lang w:val="en-US"/>
        </w:rPr>
        <w:t xml:space="preserve">. For methodological guidance see Rihoux and Ragin (2009) </w:t>
      </w:r>
      <w:r>
        <w:rPr>
          <w:i/>
          <w:iCs/>
          <w:lang w:val="en-US"/>
        </w:rPr>
        <w:t>Configurational Comparative Methods</w:t>
      </w:r>
      <w:r>
        <w:rPr>
          <w:lang w:val="en-US"/>
        </w:rPr>
        <w:t xml:space="preserve">. Qualitative Comparative Analysis is treated separately below.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why some European countries adopted stringent climate legislation in the 1990s while others did not. The research object is each country as a configuration of conditions — party composition, peak energy dependence, union strength, and electoral timing — rather than as a bundle of independently varying variables. The method uses set-theoretic logic to identify which combinations of these conditions were sufficient or necessary for strong legislative outcomes, acknowledging that different combinations may have produced the same result in different cases.</w:t>
      </w:r>
    </w:p>
    <w:p w14:paraId="3CC199AB" w14:textId="77777777" w:rsidR="00675F56" w:rsidRPr="00675F56" w:rsidRDefault="00675F56" w:rsidP="00675F56">
      <w:pPr>
        <w:rPr>
          <w:lang w:val="en-US"/>
        </w:rPr>
      </w:pPr>
      <w:r>
        <w:rPr>
          <w:i/>
          <w:iCs/>
          <w:lang w:val="en-US"/>
        </w:rPr>
        <w:t xml:space="preserve">Individuals and groups </w:t>
      </w:r>
    </w:p>
    <w:p w14:paraId="6A311B3F" w14:textId="77777777" w:rsidR="00675F56" w:rsidRPr="00675F56" w:rsidRDefault="00675F56" w:rsidP="00675F56">
      <w:pPr>
        <w:rPr>
          <w:lang w:val="en-US"/>
        </w:rPr>
      </w:pPr>
      <w:r>
        <w:rPr>
          <w:lang w:val="en-US"/>
        </w:rPr>
        <w:t xml:space="preserve">Comparative case analysis is oriented toward collective-level units: states, organizations, communities, or movements, and the analytical interest is in how collective-level configurations of conditions generate collective-level outcomes. </w:t>
      </w:r>
    </w:p>
    <w:p w14:paraId="78EF2FD4" w14:textId="77777777" w:rsidR="00675F56" w:rsidRPr="00675F56" w:rsidDel="001E4D27" w:rsidRDefault="00675F56" w:rsidP="00675F56">
      <w:pPr>
        <w:rPr>
          <w:lang w:val="en-US"/>
        </w:rPr>
      </w:pPr>
      <w:r>
        <w:rPr>
          <w:i/>
          <w:iCs/>
          <w:lang w:val="en-US"/>
        </w:rPr>
        <w:t xml:space="preserve">Structure and agency </w:t>
      </w:r>
    </w:p>
    <w:p w14:paraId="0B0AC018" w14:textId="77777777" w:rsidR="00675F56" w:rsidRPr="00675F56" w:rsidRDefault="00675F56" w:rsidP="00675F56">
      <w:pPr>
        <w:rPr>
          <w:lang w:val="en-US"/>
        </w:rPr>
      </w:pPr>
    </w:p>
    <w:p w14:paraId="367817BC" w14:textId="77777777" w:rsidR="00675F56" w:rsidRPr="00675F56" w:rsidRDefault="00675F56" w:rsidP="00675F56">
      <w:pPr>
        <w:rPr>
          <w:lang w:val="en-US"/>
        </w:rPr>
      </w:pPr>
      <w:r>
        <w:rPr>
          <w:lang w:val="en-US"/>
        </w:rPr>
        <w:lastRenderedPageBreak/>
        <w:t xml:space="preserve">The method examines how configurations of structural conditions are associated with outcomes, but its typically synchronic orientation limits its ability to trace the temporal dynamics through which structural conditions shape agential responses and are in turn reproduced or transformed. </w:t>
      </w:r>
    </w:p>
    <w:p w14:paraId="383357EC" w14:textId="77777777" w:rsidR="00675F56" w:rsidRPr="00675F56" w:rsidRDefault="00675F56" w:rsidP="00675F56">
      <w:pPr>
        <w:rPr>
          <w:lang w:val="en-US"/>
        </w:rPr>
      </w:pPr>
      <w:r>
        <w:rPr>
          <w:i/>
          <w:iCs/>
          <w:lang w:val="en-US"/>
        </w:rPr>
        <w:t xml:space="preserve">Transcendence and immanence </w:t>
      </w:r>
    </w:p>
    <w:p w14:paraId="24C0BD4C" w14:textId="77777777" w:rsidR="00675F56" w:rsidRPr="00675F56" w:rsidRDefault="00675F56" w:rsidP="00675F56">
      <w:pPr>
        <w:rPr>
          <w:lang w:val="en-US"/>
        </w:rPr>
      </w:pPr>
      <w:r>
        <w:rPr>
          <w:lang w:val="en-US"/>
        </w:rPr>
        <w:t xml:space="preserve">Comparative case analysis occupies a middle position. It assumes sufficient comparability across cases to enable systematic comparison, implying some degree of transcendence, while the configurational logic acknowledges that conditions combine differently across cases and that the same condition may have different effects depending on its configuration, which is a form of immanence. </w:t>
      </w:r>
    </w:p>
    <w:p w14:paraId="112AC7CE" w14:textId="77777777" w:rsidR="00675F56" w:rsidRPr="00675F56" w:rsidRDefault="00675F56" w:rsidP="00675F56">
      <w:pPr>
        <w:rPr>
          <w:lang w:val="en-US"/>
        </w:rPr>
      </w:pPr>
      <w:r>
        <w:rPr>
          <w:i/>
          <w:iCs/>
          <w:lang w:val="en-US"/>
        </w:rPr>
        <w:t xml:space="preserve">Characteristic limits </w:t>
      </w:r>
    </w:p>
    <w:p w14:paraId="313FF058" w14:textId="77777777" w:rsidR="00675F56" w:rsidRPr="00675F56" w:rsidRDefault="00675F56" w:rsidP="00675F56">
      <w:pPr>
        <w:rPr>
          <w:lang w:val="en-US"/>
        </w:rPr>
      </w:pPr>
      <w:r>
        <w:rPr>
          <w:lang w:val="en-US"/>
        </w:rPr>
        <w:t xml:space="preserve">Comparative case analysis identifies configurations associated with outcomes but cannot by itself establish that configurations cause those outcomes or specify the mechanisms through which causation operates. Decisions about which conditions to include and how to calibrate set membership embed theoretical commitments that must be made explicit. </w:t>
      </w:r>
    </w:p>
    <w:p w14:paraId="7CF436E2" w14:textId="77777777" w:rsidR="00675F56" w:rsidRPr="00675F56" w:rsidRDefault="00675F56" w:rsidP="00675F56">
      <w:pPr>
        <w:pStyle w:val="Heading3"/>
        <w:rPr>
          <w:lang w:val="en-US"/>
        </w:rPr>
      </w:pPr>
      <w:r>
        <w:rPr>
          <w:b/>
          <w:bCs/>
          <w:i/>
          <w:iCs/>
          <w:lang w:val="en-US"/>
        </w:rPr>
        <w:t xml:space="preserve">11.3.7 Comparative Historical Analysis </w:t>
      </w:r>
    </w:p>
    <w:p w14:paraId="3FEA70EA" w14:textId="77777777" w:rsidR="00675F56" w:rsidRPr="00675F56" w:rsidRDefault="00675F56" w:rsidP="00675F56">
      <w:pPr>
        <w:rPr>
          <w:lang w:val="en-US"/>
        </w:rPr>
      </w:pPr>
      <w:r>
        <w:rPr>
          <w:lang w:val="en-US"/>
        </w:rPr>
        <w:t xml:space="preserve">Comparative historical analysis investigates how collective arrangements develop across time and vary across national, organizational, or civilizational contexts, treating collectives as possessing emergent properties that require analysis at their own level. The method combines within-case analysis of historical sequences with cross-case comparison to identify the mechanisms and conditions generating different developmental trajectories. For methodological guidance see Mahoney and Rueschemeyer (2003) </w:t>
      </w:r>
      <w:r>
        <w:rPr>
          <w:i/>
          <w:iCs/>
          <w:lang w:val="en-US"/>
        </w:rPr>
        <w:t xml:space="preserve">Comparative Historical Analysis in the Social Sciences </w:t>
      </w:r>
      <w:r>
        <w:rPr>
          <w:lang w:val="en-US"/>
        </w:rPr>
        <w:t xml:space="preserve">and Mahoney and Thelen (2015) </w:t>
      </w:r>
      <w:r>
        <w:rPr>
          <w:i/>
          <w:iCs/>
          <w:lang w:val="en-US"/>
        </w:rPr>
        <w:t>Advances in Comparative- Historical Analysis</w:t>
      </w:r>
      <w:r>
        <w:rPr>
          <w:lang w:val="en-US"/>
        </w:rPr>
        <w:t xml:space="preserve">. Exemplary work includes Skocpol (1979) </w:t>
      </w:r>
      <w:r>
        <w:rPr>
          <w:i/>
          <w:iCs/>
          <w:lang w:val="en-US"/>
        </w:rPr>
        <w:t xml:space="preserve">States and Social Revolutions </w:t>
      </w:r>
      <w:r>
        <w:rPr>
          <w:lang w:val="en-US"/>
        </w:rPr>
        <w:t xml:space="preserve">and Pierson (2004) </w:t>
      </w:r>
      <w:r>
        <w:rPr>
          <w:i/>
          <w:iCs/>
          <w:lang w:val="en-US"/>
        </w:rPr>
        <w:t>Politics in Time</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why democratic transitions in Southern Europe and Latin America in the 1970s–80s produced stable democracies in some cases and collapsed in others. The research object is the state and its inherited institutional configuration — the strength of military institutions, the organisation of civil society, and the structure of international linkages — as a collective-level entity with emergent causal properties. The method traces the historical sequence of each case and compares configurations across cases to identify the mechanisms generating divergent trajectories.</w:t>
      </w:r>
    </w:p>
    <w:p w14:paraId="1FFAA1BE" w14:textId="77777777" w:rsidR="00675F56" w:rsidRPr="00675F56" w:rsidRDefault="00675F56" w:rsidP="00675F56">
      <w:pPr>
        <w:rPr>
          <w:lang w:val="en-US"/>
        </w:rPr>
      </w:pPr>
      <w:r>
        <w:rPr>
          <w:i/>
          <w:iCs/>
          <w:lang w:val="en-US"/>
        </w:rPr>
        <w:t xml:space="preserve">Individuals and groups </w:t>
      </w:r>
    </w:p>
    <w:p w14:paraId="6D1BBC9A" w14:textId="77777777" w:rsidR="00675F56" w:rsidRPr="00675F56" w:rsidRDefault="00675F56" w:rsidP="00675F56">
      <w:pPr>
        <w:rPr>
          <w:lang w:val="en-US"/>
        </w:rPr>
      </w:pPr>
      <w:r>
        <w:rPr>
          <w:lang w:val="en-US"/>
        </w:rPr>
        <w:t xml:space="preserve">Comparative historical analysis is constitutively collectivist. States, class coalitions, revolutionary movements, and institutional configurations are treated as units possessing properties and causal powers irreducible to the individuals who compose them. Skocpol's (1979) identification of state structures vulnerable to international pressure exemplifies this: the causal forces operate at the collective level. </w:t>
      </w:r>
    </w:p>
    <w:p w14:paraId="5C1F6431" w14:textId="77777777" w:rsidR="00675F56" w:rsidRPr="00675F56" w:rsidRDefault="00675F56" w:rsidP="00675F56">
      <w:pPr>
        <w:rPr>
          <w:lang w:val="en-US"/>
        </w:rPr>
      </w:pPr>
      <w:r>
        <w:rPr>
          <w:i/>
          <w:iCs/>
          <w:lang w:val="en-US"/>
        </w:rPr>
        <w:t xml:space="preserve">Structure and agency </w:t>
      </w:r>
    </w:p>
    <w:p w14:paraId="3B539C92" w14:textId="77777777" w:rsidR="00675F56" w:rsidRPr="00675F56" w:rsidRDefault="00675F56" w:rsidP="00675F56">
      <w:pPr>
        <w:rPr>
          <w:lang w:val="en-US"/>
        </w:rPr>
      </w:pPr>
      <w:r>
        <w:rPr>
          <w:lang w:val="en-US"/>
        </w:rPr>
        <w:t xml:space="preserve">The method is primarily oriented toward structural conditioning, examining how inherited institutional arrangements shape what trajectories are possible. It is </w:t>
        <w:lastRenderedPageBreak/>
        <w:t xml:space="preserve">diachronic by design, tracing how structural conditions at one point in time shape the options available to subsequent actors. Path dependence analysis (Mahoney, 2000; Pierson, 2004) provides conceptual tools for specifying how earlier structural choices constrain later ones. </w:t>
      </w:r>
    </w:p>
    <w:p w14:paraId="11AA4EAE" w14:textId="77777777" w:rsidR="00675F56" w:rsidRPr="00675F56" w:rsidRDefault="00675F56" w:rsidP="00675F56">
      <w:pPr>
        <w:rPr>
          <w:lang w:val="en-US"/>
        </w:rPr>
      </w:pPr>
      <w:r>
        <w:rPr>
          <w:i/>
          <w:iCs/>
          <w:lang w:val="en-US"/>
        </w:rPr>
        <w:t xml:space="preserve">Transcendence and immanence </w:t>
      </w:r>
    </w:p>
    <w:p w14:paraId="4D99212F" w14:textId="77777777" w:rsidR="00675F56" w:rsidRPr="00675F56" w:rsidRDefault="00675F56" w:rsidP="00675F56">
      <w:pPr>
        <w:rPr>
          <w:lang w:val="en-US"/>
        </w:rPr>
      </w:pPr>
      <w:r>
        <w:rPr>
          <w:lang w:val="en-US"/>
        </w:rPr>
        <w:t xml:space="preserve">The method can support either position. Cross-case comparison seeks mechanisms that operate similarly across contexts; within-case analysis attends to the specific conjunctural configurations that produced a particular outcome. Most comparative historical analysts hold both in tension, seeking mechanisms that are real but whose expression is shaped by the specific context in which they operate. </w:t>
      </w:r>
    </w:p>
    <w:p w14:paraId="069AD5DB" w14:textId="77777777" w:rsidR="00675F56" w:rsidRPr="00675F56" w:rsidDel="001E4D27" w:rsidRDefault="00675F56" w:rsidP="00675F56">
      <w:pPr>
        <w:rPr>
          <w:lang w:val="en-US"/>
        </w:rPr>
      </w:pPr>
      <w:r>
        <w:rPr>
          <w:i/>
          <w:iCs/>
          <w:lang w:val="en-US"/>
        </w:rPr>
        <w:t xml:space="preserve">Characteristic limits </w:t>
      </w:r>
    </w:p>
    <w:p w14:paraId="7D0AD47F" w14:textId="77777777" w:rsidR="00675F56" w:rsidRPr="00675F56" w:rsidRDefault="00675F56" w:rsidP="00675F56">
      <w:pPr>
        <w:rPr>
          <w:lang w:val="en-US"/>
        </w:rPr>
      </w:pPr>
    </w:p>
    <w:p w14:paraId="23871735" w14:textId="77777777" w:rsidR="00675F56" w:rsidRPr="00675F56" w:rsidRDefault="00675F56" w:rsidP="00675F56">
      <w:pPr>
        <w:rPr>
          <w:lang w:val="en-US"/>
        </w:rPr>
      </w:pPr>
      <w:r>
        <w:rPr>
          <w:lang w:val="en-US"/>
        </w:rPr>
        <w:t xml:space="preserve">Comparative historical analysis is limited in its access to informal practices, everyday meanings, and the experiences of subordinate groups, since historical records document elite activities and formal institutional arrangements more thoroughly. Demonstrating that identified collective properties cause outcomes requires careful attention to causal process and sequence within cases. </w:t>
      </w:r>
    </w:p>
    <w:p w14:paraId="10920487" w14:textId="77777777" w:rsidR="00675F56" w:rsidRPr="00675F56" w:rsidRDefault="00675F56" w:rsidP="00675F56">
      <w:pPr>
        <w:pStyle w:val="Heading3"/>
        <w:rPr>
          <w:lang w:val="en-US"/>
        </w:rPr>
      </w:pPr>
      <w:r>
        <w:rPr>
          <w:b/>
          <w:bCs/>
          <w:i/>
          <w:iCs/>
          <w:lang w:val="en-US"/>
        </w:rPr>
        <w:t xml:space="preserve">11.3.8 Discourse Analysis </w:t>
      </w:r>
    </w:p>
    <w:p w14:paraId="4CC47254" w14:textId="77777777" w:rsidR="00675F56" w:rsidRPr="00675F56" w:rsidRDefault="00675F56" w:rsidP="00675F56">
      <w:pPr>
        <w:rPr>
          <w:lang w:val="en-US"/>
        </w:rPr>
      </w:pPr>
      <w:r>
        <w:rPr>
          <w:lang w:val="en-US"/>
        </w:rPr>
        <w:t xml:space="preserve">Discourse analysis examines how language, understood broadly to include written texts, speech acts, and semiotic systems, constructs social reality, constitutes subject positions, and operates as a causal mechanism shaping what can be thought, said, and done. The method proceeds by identifying the systematic patterns, categories, and rules organizing a body of discourse and examining their social conditions of production and their effects. The tradition encompasses Foucauldian archaeology and genealogy (Foucault, 1972), Critical Discourse Analysis (Fairclough, 1992), and discursive psychology (Potter and Wetherell, 1987). For methodological guidance see Wodak and Meyer (2015) </w:t>
      </w:r>
      <w:r>
        <w:rPr>
          <w:i/>
          <w:iCs/>
          <w:lang w:val="en-US"/>
        </w:rPr>
        <w:t xml:space="preserve">Methods of Critical Discourse Studies </w:t>
      </w:r>
      <w:r>
        <w:rPr>
          <w:lang w:val="en-US"/>
        </w:rPr>
        <w:t xml:space="preserve">and Wooffitt (2005) </w:t>
      </w:r>
      <w:r>
        <w:rPr>
          <w:i/>
          <w:iCs/>
          <w:lang w:val="en-US"/>
        </w:rPr>
        <w:t>Conversation Analysis and Discourse Analysis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European Union policy documents construct the figure of the irregular migrant. The research object is the corpus of EU legislative texts, official communications, and parliamentary debates over a defined period, treated not as transparent descriptions of a pre-existing phenomenon but as productive of the categories through which it is governed. The method identifies the systematic patterns — the oppositions, implicit assumptions, and subject positions — that organise how the phenomenon is constituted as an object of policy, examining the conditions under which particular ways of framing migration became dominant.</w:t>
      </w:r>
    </w:p>
    <w:p w14:paraId="2762DEB4" w14:textId="77777777" w:rsidR="00675F56" w:rsidRPr="00675F56" w:rsidRDefault="00675F56" w:rsidP="00675F56">
      <w:pPr>
        <w:rPr>
          <w:lang w:val="en-US"/>
        </w:rPr>
      </w:pPr>
      <w:r>
        <w:rPr>
          <w:i/>
          <w:iCs/>
          <w:lang w:val="en-US"/>
        </w:rPr>
        <w:t xml:space="preserve">Individuals and groups </w:t>
      </w:r>
    </w:p>
    <w:p w14:paraId="17065F3B" w14:textId="77777777" w:rsidR="00675F56" w:rsidRPr="00675F56" w:rsidRDefault="00675F56" w:rsidP="00675F56">
      <w:pPr>
        <w:rPr>
          <w:lang w:val="en-US"/>
        </w:rPr>
      </w:pPr>
      <w:r>
        <w:rPr>
          <w:lang w:val="en-US"/>
        </w:rPr>
        <w:t xml:space="preserve">Discourse analysis is oriented toward the collective level. Discourses are not individual utterances but shared systems of meaning that precede and shape individual speech. The analytical object is always a corpus of texts or interactions, not individual cognition. </w:t>
      </w:r>
    </w:p>
    <w:p w14:paraId="6A802AFB" w14:textId="77777777" w:rsidR="00675F56" w:rsidRPr="00675F56" w:rsidRDefault="00675F56" w:rsidP="00675F56">
      <w:pPr>
        <w:rPr>
          <w:lang w:val="en-US"/>
        </w:rPr>
      </w:pPr>
      <w:r>
        <w:rPr>
          <w:i/>
          <w:iCs/>
          <w:lang w:val="en-US"/>
        </w:rPr>
        <w:t xml:space="preserve">Material and ideational </w:t>
      </w:r>
    </w:p>
    <w:p w14:paraId="51FDC323" w14:textId="653EFEA7" w:rsidR="00675F56" w:rsidRPr="00675F56" w:rsidRDefault="00675F56" w:rsidP="00675F56">
      <w:pPr>
        <w:rPr>
          <w:lang w:val="en-US"/>
        </w:rPr>
      </w:pPr>
      <w:r>
        <w:rPr>
          <w:lang w:val="en-US"/>
        </w:rPr>
        <w:t xml:space="preserve">Discourse analysis is positioned toward the ideational pole, treating discursive formations as possessing causal powers that shape material arrangements. Critical discourse analysis (Fairclough, 1992) examines how power operates through discourse to construct particular versions of reality as natural or inevitable. The method risks </w:t>
        <w:lastRenderedPageBreak/>
        <w:t xml:space="preserve">overestimating ideational autonomy if it treats material conditions as simply effects of discourse rather than as independently constituted conditions that constrain which discourses prove viable. </w:t>
      </w:r>
    </w:p>
    <w:p w14:paraId="0F33FB65" w14:textId="77777777" w:rsidR="00675F56" w:rsidRPr="00675F56" w:rsidRDefault="00675F56" w:rsidP="00675F56">
      <w:pPr>
        <w:rPr>
          <w:lang w:val="en-US"/>
        </w:rPr>
      </w:pPr>
      <w:r>
        <w:rPr>
          <w:i/>
          <w:iCs/>
          <w:lang w:val="en-US"/>
        </w:rPr>
        <w:t xml:space="preserve">Transcendence and immanence </w:t>
      </w:r>
    </w:p>
    <w:p w14:paraId="584017D3" w14:textId="77777777" w:rsidR="00675F56" w:rsidRPr="00675F56" w:rsidRDefault="00675F56" w:rsidP="00675F56">
      <w:pPr>
        <w:rPr>
          <w:lang w:val="en-US"/>
        </w:rPr>
      </w:pPr>
      <w:r>
        <w:rPr>
          <w:lang w:val="en-US"/>
        </w:rPr>
        <w:t xml:space="preserve">Discourse analysis is generally immanentist, treating discursive formations as historically specific and contextually embedded. Foucault's (1972) archaeological method explicitly targets the conditions of possibility of particular epistemes rather than seeking universal principles of discursive organization. </w:t>
      </w:r>
    </w:p>
    <w:p w14:paraId="2DDED418" w14:textId="77777777" w:rsidR="00675F56" w:rsidRPr="00675F56" w:rsidRDefault="00675F56" w:rsidP="00675F56">
      <w:pPr>
        <w:rPr>
          <w:lang w:val="en-US"/>
        </w:rPr>
      </w:pPr>
      <w:r>
        <w:rPr>
          <w:i/>
          <w:iCs/>
          <w:lang w:val="en-US"/>
        </w:rPr>
        <w:t xml:space="preserve">Characteristic limits </w:t>
      </w:r>
    </w:p>
    <w:p w14:paraId="587B5969" w14:textId="77777777" w:rsidR="00675F56" w:rsidRPr="00675F56" w:rsidRDefault="00675F56" w:rsidP="00675F56">
      <w:pPr>
        <w:rPr>
          <w:lang w:val="en-US"/>
        </w:rPr>
      </w:pPr>
      <w:r>
        <w:rPr>
          <w:lang w:val="en-US"/>
        </w:rPr>
        <w:t xml:space="preserve">Discourse analysis cannot by itself establish whether discourses generate material effects or are shaped by material conditions whose operation is prior and independent. It also faces the challenge of specifying criteria of interpretive adequacy without falling into relativism. </w:t>
      </w:r>
    </w:p>
    <w:p w14:paraId="0F21EFEF" w14:textId="77777777" w:rsidR="00675F56" w:rsidRPr="00675F56" w:rsidRDefault="00675F56" w:rsidP="00675F56">
      <w:pPr>
        <w:pStyle w:val="Heading3"/>
        <w:rPr>
          <w:lang w:val="en-US"/>
        </w:rPr>
      </w:pPr>
      <w:r>
        <w:rPr>
          <w:b/>
          <w:bCs/>
          <w:i/>
          <w:iCs/>
          <w:lang w:val="en-US"/>
        </w:rPr>
        <w:t xml:space="preserve">11.3.9 Ethnographic Investigation </w:t>
      </w:r>
    </w:p>
    <w:p w14:paraId="23FE4EAF" w14:textId="79B000F2" w:rsidR="00675F56" w:rsidRPr="00675F56" w:rsidDel="00FD2814" w:rsidRDefault="00675F56" w:rsidP="00675F56">
      <w:pPr>
        <w:rPr>
          <w:lang w:val="en-US"/>
        </w:rPr>
      </w:pPr>
      <w:r>
        <w:rPr>
          <w:lang w:val="en-US"/>
        </w:rPr>
        <w:t xml:space="preserve">Ethnographic research generates knowledge through sustained immersive fieldwork, combining participant observation, informal interviewing, and documentary analysis to produce accounts of how social worlds are organized and experienced from within. The researcher enters a setting over an extended period, attending to what participants do and say in naturally occurring contexts. Data take the form of field notes, interview transcripts, and documents, which is analyzed interpretively to identify patterns of meaning, practice, and social organization. For methodological guidance see Hammersley and Atkinson (2007) </w:t>
      </w:r>
      <w:r>
        <w:rPr>
          <w:i/>
          <w:iCs/>
          <w:lang w:val="en-US"/>
        </w:rPr>
        <w:t xml:space="preserve">Ethnography: Principles in Practice </w:t>
      </w:r>
      <w:r>
        <w:rPr>
          <w:lang w:val="en-US"/>
        </w:rPr>
        <w:t xml:space="preserve">and Emerson, Fretz, and Shaw (2011) </w:t>
      </w:r>
      <w:r>
        <w:rPr>
          <w:i/>
          <w:iCs/>
          <w:lang w:val="en-US"/>
        </w:rPr>
        <w:t>Writing Ethnographic Fieldnotes</w:t>
      </w:r>
      <w:r>
        <w:rPr>
          <w:lang w:val="en-US"/>
        </w:rPr>
        <w:t xml:space="preserve">; for exemplary substantive work see Geertz (1973) </w:t>
      </w:r>
      <w:r>
        <w:rPr>
          <w:i/>
          <w:iCs/>
          <w:lang w:val="en-US"/>
        </w:rPr>
        <w:t xml:space="preserve">The Interpretation of Cultures </w:t>
      </w:r>
      <w:r>
        <w:rPr>
          <w:lang w:val="en-US"/>
        </w:rPr>
        <w:t xml:space="preserve">and Burawoy (1979) </w:t>
      </w:r>
      <w:r>
        <w:rPr>
          <w:i/>
          <w:iCs/>
          <w:lang w:val="en-US"/>
        </w:rPr>
        <w:t>Manufacturing Consent</w:t>
      </w:r>
      <w:r>
        <w:rPr>
          <w:lang w:val="en-US"/>
        </w:rPr>
        <w:t xml:space="preserve">. </w:t>
      </w:r>
    </w:p>
    <w:p w14:paraId="6E1D6584" w14:textId="77777777" w:rsidR="00675F56" w:rsidRPr="00675F56" w:rsidRDefault="00675F56" w:rsidP="00675F56">
      <w:pPr>
        <w:rPr>
          <w:lang w:val="en-US"/>
        </w:rPr>
      </w:pP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informal norms and organisational culture shape decision-making in a local government planning department. The research object is the shared practices, implicit understandings, and collective routines through which planning decisions are actually produced, understood as properties of the organisational culture rather than as individual attitudes. The researcher spends an extended period in the setting, attending meetings, accompanying officers, and conducting informal conversations, building an account of the social world from within before moving to interpretation.</w:t>
      </w:r>
    </w:p>
    <w:p w14:paraId="78CC5FE7" w14:textId="77777777" w:rsidR="00675F56" w:rsidRPr="00675F56" w:rsidRDefault="00675F56" w:rsidP="00675F56">
      <w:pPr>
        <w:rPr>
          <w:lang w:val="en-US"/>
        </w:rPr>
      </w:pPr>
      <w:r>
        <w:rPr>
          <w:i/>
          <w:iCs/>
          <w:lang w:val="en-US"/>
        </w:rPr>
        <w:t xml:space="preserve">Individuals and groups </w:t>
      </w:r>
    </w:p>
    <w:p w14:paraId="538810EF" w14:textId="77777777" w:rsidR="00675F56" w:rsidRPr="00675F56" w:rsidRDefault="00675F56" w:rsidP="00675F56">
      <w:pPr>
        <w:rPr>
          <w:lang w:val="en-US"/>
        </w:rPr>
      </w:pPr>
      <w:r>
        <w:rPr>
          <w:lang w:val="en-US"/>
        </w:rPr>
        <w:t xml:space="preserve">Ethnography is constitutively collectivist. Its primary objects of investigation are shared meaning systems, organizational cultures, and community practices understood as collective properties that individuals draw on but do not individually produce. It cannot reduce these to aggregated individual characteristics without abandoning its analytical purchase. </w:t>
      </w:r>
    </w:p>
    <w:p w14:paraId="25FE8FF2" w14:textId="77777777" w:rsidR="00675F56" w:rsidRPr="00675F56" w:rsidRDefault="00675F56" w:rsidP="00675F56">
      <w:pPr>
        <w:rPr>
          <w:lang w:val="en-US"/>
        </w:rPr>
      </w:pPr>
      <w:r>
        <w:rPr>
          <w:i/>
          <w:iCs/>
          <w:lang w:val="en-US"/>
        </w:rPr>
        <w:t xml:space="preserve">Structure and agency </w:t>
      </w:r>
    </w:p>
    <w:p w14:paraId="31E4F8B4" w14:textId="77777777" w:rsidR="00675F56" w:rsidRPr="00675F56" w:rsidRDefault="00675F56" w:rsidP="00675F56">
      <w:pPr>
        <w:rPr>
          <w:lang w:val="en-US"/>
        </w:rPr>
      </w:pPr>
      <w:r>
        <w:rPr>
          <w:lang w:val="en-US"/>
        </w:rPr>
        <w:t xml:space="preserve">The method's logic tilts toward agency and mutual constitution. It accesses practice as it unfolds, showing how actors draw on structural resources in ways that simultaneously reproduce and potentially transform them. It is poorly suited to demonstrating that </w:t>
        <w:lastRenderedPageBreak/>
        <w:t xml:space="preserve">structural conditions operate independently of actors' awareness, since it gains access to social life primarily through what participants do and say. </w:t>
      </w:r>
    </w:p>
    <w:p w14:paraId="3825D74D" w14:textId="77777777" w:rsidR="00675F56" w:rsidRPr="00675F56" w:rsidRDefault="00675F56" w:rsidP="00675F56">
      <w:pPr>
        <w:rPr>
          <w:lang w:val="en-US"/>
        </w:rPr>
      </w:pPr>
      <w:r>
        <w:rPr>
          <w:i/>
          <w:iCs/>
          <w:lang w:val="en-US"/>
        </w:rPr>
        <w:t xml:space="preserve">Transcendence and immanence </w:t>
      </w:r>
    </w:p>
    <w:p w14:paraId="1EC16A82" w14:textId="77777777" w:rsidR="00675F56" w:rsidRPr="00675F56" w:rsidRDefault="00675F56" w:rsidP="00675F56">
      <w:pPr>
        <w:rPr>
          <w:lang w:val="en-US"/>
        </w:rPr>
      </w:pPr>
      <w:r>
        <w:rPr>
          <w:lang w:val="en-US"/>
        </w:rPr>
        <w:t xml:space="preserve">Ethnography is strongly immanentist. Its evidentiary logic depends on contextual depth and particularity, and this is a methodological commitment rather than merely a practical limitation. Multi-sited ethnography (Marcus, 1995) extends reach by following phenomena across locations, but multiplies contextual depth rather than generating claims about universal mechanisms. </w:t>
      </w:r>
    </w:p>
    <w:p w14:paraId="7D1FC647" w14:textId="77777777" w:rsidR="00675F56" w:rsidRPr="00675F56" w:rsidRDefault="00675F56" w:rsidP="00675F56">
      <w:pPr>
        <w:rPr>
          <w:lang w:val="en-US"/>
        </w:rPr>
      </w:pPr>
      <w:r>
        <w:rPr>
          <w:i/>
          <w:iCs/>
          <w:lang w:val="en-US"/>
        </w:rPr>
        <w:t xml:space="preserve">Characteristic limits </w:t>
      </w:r>
    </w:p>
    <w:p w14:paraId="470695D1" w14:textId="68B125EE" w:rsidR="00675F56" w:rsidRPr="00675F56" w:rsidRDefault="00675F56" w:rsidP="00675F56">
      <w:pPr>
        <w:rPr>
          <w:lang w:val="en-US"/>
        </w:rPr>
      </w:pPr>
      <w:r>
        <w:rPr>
          <w:lang w:val="en-US"/>
        </w:rPr>
        <w:t xml:space="preserve">Ethnography cannot establish causal priority between material and ideational factors, since it is unable to demonstrate that structural conditions operate independently of actors' awareness. Additionally, this method cannot access mechanisms that operate with the same logic across contexts, since its evidentiary commitments are to contextual depth and particularity rather than cross-contextual generalization. Researchers requiring any of these will need to combine ethnographic work with methods that reach structural, historical, and comparative conditions directly. Ethnographic investigation encompasses a number of recognized variants including thick description (Geertz, 1973), focused ethnography (Knoblauch, 2005), institutional ethnography (Smith, 2005), and the extended case method (Burawoy, 1998), each of which adjusts the scope, duration, and theoretical orientation of fieldwork while retaining the core commitment to naturalistic observation in context. </w:t>
      </w:r>
    </w:p>
    <w:p w14:paraId="62AE4EDC" w14:textId="77777777" w:rsidR="00675F56" w:rsidRPr="00675F56" w:rsidRDefault="00675F56" w:rsidP="00675F56">
      <w:pPr>
        <w:pStyle w:val="Heading3"/>
        <w:rPr>
          <w:lang w:val="en-US"/>
        </w:rPr>
      </w:pPr>
      <w:r>
        <w:rPr>
          <w:b/>
          <w:bCs/>
          <w:i/>
          <w:iCs/>
          <w:lang w:val="en-US"/>
        </w:rPr>
        <w:t xml:space="preserve">11.3.10 Experimental Manipulation </w:t>
      </w:r>
    </w:p>
    <w:p w14:paraId="54144941" w14:textId="0234A0ED" w:rsidR="00675F56" w:rsidRPr="00675F56" w:rsidRDefault="00675F56" w:rsidP="00675F56">
      <w:pPr>
        <w:rPr>
          <w:lang w:val="en-US"/>
        </w:rPr>
      </w:pPr>
      <w:r>
        <w:rPr>
          <w:lang w:val="en-US"/>
        </w:rPr>
        <w:t xml:space="preserve">Experimental research establishes causal claims by randomly assigning participants to treatment and control conditions, manipulating one or more factors and measuring outcomes. Any detected systematic difference in outcomes can be attributed to the given level of manipulation rather than to pre-existing differences between participants. Laboratory experiments maximize control over conditions; field experiments (Gerber and Green, 2012) trade some control for ecological validity; natural experiments exploit naturally occurring variation that approximates random assignment. For methodological guidance see Shadish, Cook, and Campbell (2002) </w:t>
      </w:r>
      <w:r>
        <w:rPr>
          <w:i/>
          <w:iCs/>
          <w:lang w:val="en-US"/>
        </w:rPr>
        <w:t xml:space="preserve">Experimental and Quasi-Experimental Designs for Generalized Causal Inference </w:t>
      </w:r>
      <w:r>
        <w:rPr>
          <w:lang w:val="en-US"/>
        </w:rPr>
        <w:t xml:space="preserve">and Gerber and Green (2012) </w:t>
      </w:r>
      <w:r>
        <w:rPr>
          <w:i/>
          <w:iCs/>
          <w:lang w:val="en-US"/>
        </w:rPr>
        <w:t>Field Experiments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whether race affects employer responses to job applications. The research object is the individual hiring decision and the causal role of a racially marked name within it. Matched pairs of CVs — identical in qualifications but randomly varying in whether the name signals minority or majority status — are submitted to real job advertisements; callback rates are compared across conditions. The design allows the racial signal to be treated as the manipulated factor and any systematic difference in callbacks to be attributed to it rather than to pre-existing applicant differences.</w:t>
      </w:r>
    </w:p>
    <w:p w14:paraId="294B1BB4" w14:textId="77777777" w:rsidR="00675F56" w:rsidRPr="00675F56" w:rsidRDefault="00675F56" w:rsidP="00675F56">
      <w:pPr>
        <w:rPr>
          <w:lang w:val="en-US"/>
        </w:rPr>
      </w:pPr>
      <w:r>
        <w:rPr>
          <w:i/>
          <w:iCs/>
          <w:lang w:val="en-US"/>
        </w:rPr>
        <w:t xml:space="preserve">Individuals and groups </w:t>
      </w:r>
    </w:p>
    <w:p w14:paraId="4172A11B" w14:textId="77777777" w:rsidR="00675F56" w:rsidRPr="00675F56" w:rsidRDefault="00675F56" w:rsidP="00675F56">
      <w:pPr>
        <w:rPr>
          <w:lang w:val="en-US"/>
        </w:rPr>
      </w:pPr>
      <w:r>
        <w:rPr>
          <w:lang w:val="en-US"/>
        </w:rPr>
        <w:t xml:space="preserve">Experimental manipulation is constitutively individualist. Random assignment operates at the individual level, treatment effects are measured as differences in individual outcomes, and the method cannot investigate whether collective properties constrain what individual-level interventions can accomplish. </w:t>
      </w:r>
    </w:p>
    <w:p w14:paraId="659B650B" w14:textId="77777777" w:rsidR="00675F56" w:rsidRPr="00675F56" w:rsidRDefault="00675F56" w:rsidP="00675F56">
      <w:pPr>
        <w:rPr>
          <w:lang w:val="en-US"/>
        </w:rPr>
      </w:pPr>
      <w:r>
        <w:rPr>
          <w:i/>
          <w:iCs/>
          <w:lang w:val="en-US"/>
        </w:rPr>
        <w:t xml:space="preserve">Structure and agency </w:t>
      </w:r>
    </w:p>
    <w:p w14:paraId="158047D7" w14:textId="77777777" w:rsidR="00675F56" w:rsidRPr="00675F56" w:rsidDel="00923FFC" w:rsidRDefault="00675F56" w:rsidP="00675F56">
      <w:pPr>
        <w:rPr>
          <w:lang w:val="en-US"/>
        </w:rPr>
      </w:pPr>
      <w:r>
        <w:rPr>
          <w:lang w:val="en-US"/>
        </w:rPr>
        <w:lastRenderedPageBreak/>
        <w:t xml:space="preserve">Experiments access the agential level, examining how individuals respond to varying conditions. They cannot investigate structural conditions that operate independently of the </w:t>
      </w:r>
    </w:p>
    <w:p w14:paraId="7550CBB5" w14:textId="77777777" w:rsidR="00675F56" w:rsidRPr="00675F56" w:rsidDel="00923FFC" w:rsidRDefault="00675F56" w:rsidP="00675F56">
      <w:pPr>
        <w:rPr>
          <w:lang w:val="en-US"/>
        </w:rPr>
      </w:pPr>
    </w:p>
    <w:p w14:paraId="37A3DF55" w14:textId="77777777" w:rsidR="00675F56" w:rsidRPr="00675F56" w:rsidRDefault="00675F56" w:rsidP="00675F56">
      <w:pPr>
        <w:rPr>
          <w:lang w:val="en-US"/>
        </w:rPr>
      </w:pPr>
      <w:r>
        <w:rPr>
          <w:lang w:val="en-US"/>
        </w:rPr>
        <w:t xml:space="preserve">experimental setting, and experimental effects may not persist when participants return to unchanged structural contexts. </w:t>
      </w:r>
    </w:p>
    <w:p w14:paraId="24BB8E08" w14:textId="77777777" w:rsidR="00675F56" w:rsidRPr="00675F56" w:rsidRDefault="00675F56" w:rsidP="00675F56">
      <w:pPr>
        <w:rPr>
          <w:lang w:val="en-US"/>
        </w:rPr>
      </w:pPr>
      <w:r>
        <w:rPr>
          <w:i/>
          <w:iCs/>
          <w:lang w:val="en-US"/>
        </w:rPr>
        <w:t xml:space="preserve">Transcendence and immanence </w:t>
      </w:r>
    </w:p>
    <w:p w14:paraId="4A448DB1" w14:textId="1923F0FA" w:rsidR="00675F56" w:rsidRPr="00675F56" w:rsidRDefault="00675F56" w:rsidP="00675F56">
      <w:pPr>
        <w:rPr>
          <w:lang w:val="en-US"/>
        </w:rPr>
      </w:pPr>
      <w:r>
        <w:rPr>
          <w:lang w:val="en-US"/>
        </w:rPr>
        <w:t xml:space="preserve">Experiments are explicitly transcendent in aspiration, seeking treatment effects that operate across individuals and contexts. External validity, whether effects found in one setting generalize to others, is the primary challenge this aspiration faces. </w:t>
      </w:r>
    </w:p>
    <w:p w14:paraId="42FC8F66" w14:textId="77777777" w:rsidR="00675F56" w:rsidRPr="00675F56" w:rsidRDefault="00675F56" w:rsidP="00675F56">
      <w:pPr>
        <w:rPr>
          <w:lang w:val="en-US"/>
        </w:rPr>
      </w:pPr>
      <w:r>
        <w:rPr>
          <w:i/>
          <w:iCs/>
          <w:lang w:val="en-US"/>
        </w:rPr>
        <w:t xml:space="preserve">Characteristic limits </w:t>
      </w:r>
    </w:p>
    <w:p w14:paraId="6E161C8F" w14:textId="77777777" w:rsidR="00675F56" w:rsidRPr="00675F56" w:rsidRDefault="00675F56" w:rsidP="00675F56">
      <w:pPr>
        <w:rPr>
          <w:lang w:val="en-US"/>
        </w:rPr>
      </w:pPr>
      <w:r>
        <w:rPr>
          <w:lang w:val="en-US"/>
        </w:rPr>
        <w:t xml:space="preserve">Experiments cannot investigate collective properties, structural mechanisms operating below actors' awareness, or phenomena constituted through historical processes. Their internal validity advantages come at the cost of systematic exclusion of the social conditions within which the phenomena they measure are embedded in natural settings. </w:t>
      </w:r>
    </w:p>
    <w:p w14:paraId="6152985A" w14:textId="77777777" w:rsidR="00675F56" w:rsidRPr="00675F56" w:rsidRDefault="00675F56" w:rsidP="00675F56">
      <w:pPr>
        <w:pStyle w:val="Heading3"/>
        <w:rPr>
          <w:lang w:val="en-US"/>
        </w:rPr>
      </w:pPr>
      <w:r>
        <w:rPr>
          <w:b/>
          <w:bCs/>
          <w:i/>
          <w:iCs/>
          <w:lang w:val="en-US"/>
        </w:rPr>
        <w:t xml:space="preserve">11.3.11 Grounded Theory </w:t>
      </w:r>
    </w:p>
    <w:p w14:paraId="38AB9F05" w14:textId="77777777" w:rsidR="00675F56" w:rsidRPr="00675F56" w:rsidRDefault="00675F56" w:rsidP="00675F56">
      <w:pPr>
        <w:rPr>
          <w:lang w:val="en-US"/>
        </w:rPr>
      </w:pPr>
      <w:r>
        <w:rPr>
          <w:lang w:val="en-US"/>
        </w:rPr>
        <w:t xml:space="preserve">Grounded theory is a systematic qualitative method for generating theoretical categories from empirical data through iterative procedures of coding, constant comparison, theoretical sampling, and theoretical saturation. Rather than testing prior hypotheses, the researcher allows categories and their relationships to emerge through sustained engagement with data, directing further data collection toward cases most likely to develop or challenge emerging theoretical insights. The method was originally developed by Glaser and Strauss (1967) </w:t>
      </w:r>
      <w:r>
        <w:rPr>
          <w:i/>
          <w:iCs/>
          <w:lang w:val="en-US"/>
        </w:rPr>
        <w:t xml:space="preserve">The Discovery of Grounded Theory </w:t>
      </w:r>
      <w:r>
        <w:rPr>
          <w:lang w:val="en-US"/>
        </w:rPr>
        <w:t xml:space="preserve">and has since diverged into distinct variants. For methodological guidance see Strauss and Corbin (1990) </w:t>
      </w:r>
      <w:r>
        <w:rPr>
          <w:i/>
          <w:iCs/>
          <w:lang w:val="en-US"/>
        </w:rPr>
        <w:t xml:space="preserve">Basics of Qualitative Research </w:t>
      </w:r>
      <w:r>
        <w:rPr>
          <w:lang w:val="en-US"/>
        </w:rPr>
        <w:t xml:space="preserve">and Charmaz (2006) </w:t>
      </w:r>
      <w:r>
        <w:rPr>
          <w:i/>
          <w:iCs/>
          <w:lang w:val="en-US"/>
        </w:rPr>
        <w:t>Constructing Grounded Theory</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junior doctors manage the emotional demands of end-of-life conversations with patients and families. The research object is the recurrent social process — the strategies, orientations, and informal norms — through which actors navigate a shared situational challenge. The researcher conducts iterative interviews with a purposive sample, coding responses and using emerging categories to direct subsequent data collection toward cases most likely to develop or challenge the emerging theoretical account, continuing until further sampling produces no new categories.</w:t>
      </w:r>
    </w:p>
    <w:p w14:paraId="2B0052FE" w14:textId="77777777" w:rsidR="00675F56" w:rsidRPr="00675F56" w:rsidRDefault="00675F56" w:rsidP="00675F56">
      <w:pPr>
        <w:rPr>
          <w:lang w:val="en-US"/>
        </w:rPr>
      </w:pPr>
      <w:r>
        <w:rPr>
          <w:i/>
          <w:iCs/>
          <w:lang w:val="en-US"/>
        </w:rPr>
        <w:t xml:space="preserve">Individuals and groups </w:t>
      </w:r>
    </w:p>
    <w:p w14:paraId="467C9B63" w14:textId="77777777" w:rsidR="00675F56" w:rsidRPr="00675F56" w:rsidRDefault="00675F56" w:rsidP="00675F56">
      <w:pPr>
        <w:rPr>
          <w:lang w:val="en-US"/>
        </w:rPr>
      </w:pPr>
      <w:r>
        <w:rPr>
          <w:lang w:val="en-US"/>
        </w:rPr>
        <w:t xml:space="preserve">Grounded theory in its original Glaserian form tends toward individualism, treating social patterns as emergent from actors' interactions and perspectives. Strauss and Corbin's (1990) conditional matrices introduce more structural sensitivity, situating action within institutional contexts. The method is flexible across positions depending on how the researcher theorizes the relationship between generated categories and levels of social reality. </w:t>
      </w:r>
    </w:p>
    <w:p w14:paraId="3561F8E3" w14:textId="77777777" w:rsidR="00675F56" w:rsidRPr="00675F56" w:rsidRDefault="00675F56" w:rsidP="00675F56">
      <w:pPr>
        <w:rPr>
          <w:lang w:val="en-US"/>
        </w:rPr>
      </w:pPr>
      <w:r>
        <w:rPr>
          <w:i/>
          <w:iCs/>
          <w:lang w:val="en-US"/>
        </w:rPr>
        <w:t xml:space="preserve">Structure and agency </w:t>
      </w:r>
    </w:p>
    <w:p w14:paraId="0A95E0BA" w14:textId="77777777" w:rsidR="00675F56" w:rsidRPr="00675F56" w:rsidRDefault="00675F56" w:rsidP="00675F56">
      <w:pPr>
        <w:rPr>
          <w:lang w:val="en-US"/>
        </w:rPr>
      </w:pPr>
      <w:r>
        <w:rPr>
          <w:lang w:val="en-US"/>
        </w:rPr>
        <w:t xml:space="preserve">Grounded theory is primarily oriented toward agency, centering actors' meaning-making, strategies, and responses to conditions. Its concept of basic social processes, recurrent patterns of purposive action through which actors manage their situations, is </w:t>
        <w:lastRenderedPageBreak/>
        <w:t xml:space="preserve">an agential concept. Structural conditions enter as context rather than as primary causal forces. </w:t>
      </w:r>
    </w:p>
    <w:p w14:paraId="32DB0541" w14:textId="77777777" w:rsidR="00675F56" w:rsidRPr="00675F56" w:rsidRDefault="00675F56" w:rsidP="00675F56">
      <w:pPr>
        <w:rPr>
          <w:lang w:val="en-US"/>
        </w:rPr>
      </w:pPr>
      <w:r>
        <w:rPr>
          <w:i/>
          <w:iCs/>
          <w:lang w:val="en-US"/>
        </w:rPr>
        <w:t xml:space="preserve">Transcendence and immanence </w:t>
      </w:r>
    </w:p>
    <w:p w14:paraId="1765659C" w14:textId="1FFB5CEC" w:rsidR="00675F56" w:rsidRPr="00675F56" w:rsidRDefault="00675F56" w:rsidP="00675F56">
      <w:pPr>
        <w:rPr>
          <w:lang w:val="en-US"/>
        </w:rPr>
      </w:pPr>
      <w:r>
        <w:rPr>
          <w:lang w:val="en-US"/>
        </w:rPr>
        <w:t xml:space="preserve">Substantive grounded theory is strongly immanentist, generating theory grounded in the specific context that is being studied. Glaser and Strauss's (1967) concept of formal grounded theory, which extends substantive theory by comparing across multiple substantive areas, moves toward transcendence but has been less developed in practice. </w:t>
      </w:r>
    </w:p>
    <w:p w14:paraId="27F7C0BB" w14:textId="77777777" w:rsidR="00675F56" w:rsidRPr="00675F56" w:rsidRDefault="00675F56" w:rsidP="00675F56">
      <w:pPr>
        <w:rPr>
          <w:lang w:val="en-US"/>
        </w:rPr>
      </w:pPr>
      <w:r>
        <w:rPr>
          <w:i/>
          <w:iCs/>
          <w:lang w:val="en-US"/>
        </w:rPr>
        <w:t xml:space="preserve">Characteristic limits </w:t>
      </w:r>
    </w:p>
    <w:p w14:paraId="66A97C1B" w14:textId="77777777" w:rsidR="00675F56" w:rsidRPr="00675F56" w:rsidRDefault="00675F56" w:rsidP="00675F56">
      <w:pPr>
        <w:rPr>
          <w:lang w:val="en-US"/>
        </w:rPr>
      </w:pPr>
      <w:r>
        <w:rPr>
          <w:lang w:val="en-US"/>
        </w:rPr>
        <w:t xml:space="preserve">Grounded theory’s characteristic limit follows from its centering of actors’ meaning-making and iterative categorization. The method generates categories that capture how actors experience and navigate their situations but cannot demonstrate that the patterns it identifies are not themselves shaped by structural conditions whose operation precedes and is independent of those interpretive responses. Charmaz’s (2006) constructivist variant sharpens rather than resolves this limit: by treating categories as co-constructed through the researcher’s interpretive engagement, it clarifies the epistemological character of the analysis without addressing what structural conditions lie behind the meanings being constructed. </w:t>
      </w:r>
    </w:p>
    <w:p w14:paraId="0F0AFE2A" w14:textId="77777777" w:rsidR="00675F56" w:rsidRPr="00675F56" w:rsidDel="00B87311" w:rsidRDefault="00675F56" w:rsidP="00675F56">
      <w:pPr>
        <w:pStyle w:val="Heading3"/>
        <w:rPr>
          <w:lang w:val="en-US"/>
        </w:rPr>
      </w:pPr>
      <w:r>
        <w:rPr>
          <w:b/>
          <w:bCs/>
          <w:i/>
          <w:iCs/>
          <w:lang w:val="en-US"/>
        </w:rPr>
        <w:t xml:space="preserve">11.3.12 Hermeneutic Inquiry </w:t>
      </w:r>
    </w:p>
    <w:p w14:paraId="33C54961" w14:textId="77777777" w:rsidR="00675F56" w:rsidRPr="00675F56" w:rsidRDefault="00675F56" w:rsidP="00675F56">
      <w:pPr>
        <w:rPr>
          <w:lang w:val="en-US"/>
        </w:rPr>
      </w:pPr>
    </w:p>
    <w:p w14:paraId="329CE9F4" w14:textId="77777777" w:rsidR="00675F56" w:rsidRDefault="00675F56" w:rsidP="00675F56">
      <w:pPr>
        <w:rPr>
          <w:lang w:val="en-US"/>
        </w:rPr>
      </w:pPr>
      <w:r>
        <w:rPr>
          <w:lang w:val="en-US"/>
        </w:rPr>
        <w:t xml:space="preserve">Hermeneutic inquiry investigates the interpretation of meaningful texts, practices, and social formations, treating understanding rather than explanation as the appropriate mode of knowledge for phenomena whose being is constituted through meaning. The method proceeds through the hermeneutic circle, moving iteratively between parts and whole, progressively deepening and revising interpretation. The tradition runs from Schleiermacher and Dilthey through Heidegger to Gadamer (1960/2004) </w:t>
      </w:r>
      <w:r>
        <w:rPr>
          <w:i/>
          <w:iCs/>
          <w:lang w:val="en-US"/>
        </w:rPr>
        <w:t xml:space="preserve">Truth and Method </w:t>
      </w:r>
      <w:r>
        <w:rPr>
          <w:lang w:val="en-US"/>
        </w:rPr>
        <w:t xml:space="preserve">and Ricoeur (1981) </w:t>
      </w:r>
      <w:r>
        <w:rPr>
          <w:i/>
          <w:iCs/>
          <w:lang w:val="en-US"/>
        </w:rPr>
        <w:t>Hermeneutics and the Human Sciences</w:t>
      </w:r>
      <w:r>
        <w:rPr>
          <w:lang w:val="en-US"/>
        </w:rPr>
        <w:t xml:space="preserve">. For application to social research see Taylor (1985) </w:t>
      </w:r>
      <w:r>
        <w:rPr>
          <w:i/>
          <w:iCs/>
          <w:lang w:val="en-US"/>
        </w:rPr>
        <w:t xml:space="preserve">Philosophy and the Human Sciences </w:t>
      </w:r>
      <w:r>
        <w:rPr>
          <w:lang w:val="en-US"/>
        </w:rPr>
        <w:t xml:space="preserve">and Bleicher (1980) </w:t>
      </w:r>
      <w:r>
        <w:rPr>
          <w:i/>
          <w:iCs/>
          <w:lang w:val="en-US"/>
        </w:rPr>
        <w:t>Contemporary Hermeneutics</w:t>
      </w:r>
      <w:r>
        <w:rPr>
          <w:lang w:val="en-US"/>
        </w:rPr>
        <w:t xml:space="preserve">. </w:t>
      </w:r>
    </w:p>
    <w:p w14:paraId="39B5D12C" w14:textId="0ABCD901" w:rsidR="00264C42" w:rsidRDefault="00264C42" w:rsidP="00675F56">
      <w:pPr>
        <w:rPr>
          <w:lang w:val="en-US"/>
        </w:rPr>
      </w:pPr>
      <w:r>
        <w:rPr>
          <w:lang w:val="en-US"/>
        </w:rPr>
        <w:t>Application of the method (example)</w:t>
      </w:r>
    </w:p>
    <w:p w14:paraId="324340C3" w14:textId="71E46AEE" w:rsidR="00264C42" w:rsidRPr="00675F56" w:rsidRDefault="00264C42" w:rsidP="00675F56">
      <w:pPr>
        <w:rPr>
          <w:lang w:val="en-US"/>
        </w:rPr>
      </w:pPr>
      <w:r>
        <w:rPr>
          <w:lang w:val="en-US"/>
        </w:rPr>
        <w:t xml:space="preserve">The topic is the meaning of post-war commemoration practices in France. The research object is the shared cultural framework through which French society interprets the obligation to remember and </w:t>
      </w:r>
      <w:r>
        <w:rPr>
          <w:lang w:val="en-US"/>
        </w:rPr>
        <w:t>honour</w:t>
      </w:r>
      <w:r>
        <w:rPr>
          <w:lang w:val="en-US"/>
        </w:rPr>
        <w:t xml:space="preserve"> the war dead</w:t>
      </w:r>
      <w:r>
        <w:rPr>
          <w:lang w:val="en-US"/>
        </w:rPr>
        <w:t xml:space="preserve">; </w:t>
      </w:r>
      <w:r>
        <w:rPr>
          <w:lang w:val="en-US"/>
        </w:rPr>
        <w:t xml:space="preserve">expressed </w:t>
      </w:r>
      <w:r>
        <w:rPr>
          <w:lang w:val="en-US"/>
        </w:rPr>
        <w:t>through</w:t>
      </w:r>
      <w:r>
        <w:rPr>
          <w:lang w:val="en-US"/>
        </w:rPr>
        <w:t xml:space="preserve"> public rituals, monuments, and official narratives. The method proceeds through the hermeneutic circle, moving iteratively between specific commemorative texts and practices and the broader historical and cultural tradition from which their meaning derives, progressively deepening the interpretation and how that inherited meaning shapes contemporary collective identity.</w:t>
      </w:r>
    </w:p>
    <w:p w14:paraId="48C7F5B4" w14:textId="77777777" w:rsidR="00675F56" w:rsidRPr="00675F56" w:rsidRDefault="00675F56" w:rsidP="00675F56">
      <w:pPr>
        <w:rPr>
          <w:lang w:val="en-US"/>
        </w:rPr>
      </w:pPr>
      <w:r>
        <w:rPr>
          <w:i/>
          <w:iCs/>
          <w:lang w:val="en-US"/>
        </w:rPr>
        <w:t xml:space="preserve">Individuals and groups </w:t>
      </w:r>
    </w:p>
    <w:p w14:paraId="3A29DFD8" w14:textId="77777777" w:rsidR="00675F56" w:rsidRPr="00675F56" w:rsidRDefault="00675F56" w:rsidP="00675F56">
      <w:pPr>
        <w:rPr>
          <w:lang w:val="en-US"/>
        </w:rPr>
      </w:pPr>
      <w:r>
        <w:rPr>
          <w:lang w:val="en-US"/>
        </w:rPr>
        <w:lastRenderedPageBreak/>
        <w:t xml:space="preserve">Hermeneutics is oriented toward the collective level of meaning. The horizon of understanding within which any interpreter operates is inherited from a tradition that no individual created (Gadamer, 1960/2004). Meaning is not a private psychological event but a shared cultural achievement. </w:t>
      </w:r>
    </w:p>
    <w:p w14:paraId="737D390F" w14:textId="77777777" w:rsidR="00675F56" w:rsidRPr="00675F56" w:rsidRDefault="00675F56" w:rsidP="00675F56">
      <w:pPr>
        <w:rPr>
          <w:lang w:val="en-US"/>
        </w:rPr>
      </w:pPr>
      <w:r>
        <w:rPr>
          <w:i/>
          <w:iCs/>
          <w:lang w:val="en-US"/>
        </w:rPr>
        <w:t xml:space="preserve">Structure and agency </w:t>
      </w:r>
    </w:p>
    <w:p w14:paraId="2602DB41" w14:textId="77777777" w:rsidR="00675F56" w:rsidRPr="00675F56" w:rsidRDefault="00675F56" w:rsidP="00675F56">
      <w:pPr>
        <w:rPr>
          <w:lang w:val="en-US"/>
        </w:rPr>
      </w:pPr>
      <w:r>
        <w:rPr>
          <w:lang w:val="en-US"/>
        </w:rPr>
        <w:t xml:space="preserve">Hermeneutics acknowledges both the structural constraint of inherited interpretive traditions and the creative agency of interpretation. Gadamer's (1960/2004) fusion of horizons captures an agential moment in which genuine understanding across different cultural positions produces new meaning. Ricoeur's (1981) account of distanciation and appropriation extends this: the text's detachment from its original context opens a range of possible meanings, and appropriation involves the reader actively making one of these their own. </w:t>
      </w:r>
    </w:p>
    <w:p w14:paraId="56A2082E" w14:textId="77777777" w:rsidR="00675F56" w:rsidRPr="00675F56" w:rsidRDefault="00675F56" w:rsidP="00675F56">
      <w:pPr>
        <w:rPr>
          <w:lang w:val="en-US"/>
        </w:rPr>
      </w:pPr>
      <w:r>
        <w:rPr>
          <w:i/>
          <w:iCs/>
          <w:lang w:val="en-US"/>
        </w:rPr>
        <w:t xml:space="preserve">Material and ideational </w:t>
      </w:r>
    </w:p>
    <w:p w14:paraId="2120B610" w14:textId="77777777" w:rsidR="00675F56" w:rsidRPr="00675F56" w:rsidRDefault="00675F56" w:rsidP="00675F56">
      <w:pPr>
        <w:rPr>
          <w:lang w:val="en-US"/>
        </w:rPr>
      </w:pPr>
      <w:r>
        <w:rPr>
          <w:lang w:val="en-US"/>
        </w:rPr>
        <w:t xml:space="preserve">Hermeneutic inquiry is firmly ideationalist, treating shared meanings as constitutive of the social world rather than as reflections of independently operating material conditions. Material conditions enter hermeneutic analysis as they are experienced and interpreted rather than as constraints operating independently of meaning. </w:t>
      </w:r>
    </w:p>
    <w:p w14:paraId="7EF5461F" w14:textId="77777777" w:rsidR="00675F56" w:rsidRPr="00675F56" w:rsidRDefault="00675F56" w:rsidP="00675F56">
      <w:pPr>
        <w:rPr>
          <w:lang w:val="en-US"/>
        </w:rPr>
      </w:pPr>
      <w:r>
        <w:rPr>
          <w:i/>
          <w:iCs/>
          <w:lang w:val="en-US"/>
        </w:rPr>
        <w:t xml:space="preserve">Transcendence and immanence </w:t>
      </w:r>
    </w:p>
    <w:p w14:paraId="229009F3" w14:textId="77777777" w:rsidR="00675F56" w:rsidRPr="00675F56" w:rsidRDefault="00675F56" w:rsidP="00675F56">
      <w:pPr>
        <w:rPr>
          <w:lang w:val="en-US"/>
        </w:rPr>
      </w:pPr>
      <w:r>
        <w:rPr>
          <w:lang w:val="en-US"/>
        </w:rPr>
        <w:t xml:space="preserve">Hermeneutic inquiry is primarily immanentist, insisting that interpretation must remain faithful to the historical and cultural particularity of what is being interpreted. Gadamer's fusion of horizons introduces a qualified transcendence: genuine understanding across cultural positions is possible through dialogue rather than through the application of universal method. </w:t>
      </w:r>
    </w:p>
    <w:p w14:paraId="0ADA7E55" w14:textId="77777777" w:rsidR="00675F56" w:rsidRPr="00675F56" w:rsidRDefault="00675F56" w:rsidP="00675F56">
      <w:pPr>
        <w:rPr>
          <w:lang w:val="en-US"/>
        </w:rPr>
      </w:pPr>
      <w:r>
        <w:rPr>
          <w:i/>
          <w:iCs/>
          <w:lang w:val="en-US"/>
        </w:rPr>
        <w:t xml:space="preserve">Characteristic limits </w:t>
      </w:r>
    </w:p>
    <w:p w14:paraId="7B2D2831" w14:textId="77777777" w:rsidR="00675F56" w:rsidRPr="00675F56" w:rsidRDefault="00675F56" w:rsidP="00675F56">
      <w:pPr>
        <w:rPr>
          <w:lang w:val="en-US"/>
        </w:rPr>
      </w:pPr>
      <w:r>
        <w:rPr>
          <w:lang w:val="en-US"/>
        </w:rPr>
        <w:t xml:space="preserve">Hermeneutic inquiry cannot generate population-level claims, establish causal priority between meaning and material conditions, or access mechanisms operating below the threshold of meaning. It faces the persistent challenge of specifying criteria of interpretive adequacy without falling into relativism. </w:t>
      </w:r>
    </w:p>
    <w:p w14:paraId="4425419C" w14:textId="77777777" w:rsidR="00675F56" w:rsidRPr="00675F56" w:rsidRDefault="00675F56" w:rsidP="00675F56">
      <w:pPr>
        <w:pStyle w:val="Heading3"/>
        <w:rPr>
          <w:lang w:val="en-US"/>
        </w:rPr>
      </w:pPr>
      <w:r>
        <w:rPr>
          <w:b/>
          <w:bCs/>
          <w:i/>
          <w:iCs/>
          <w:lang w:val="en-US"/>
        </w:rPr>
        <w:t xml:space="preserve">11.3.13 Longitudinal Panel Studies </w:t>
      </w:r>
    </w:p>
    <w:p w14:paraId="6452DA48" w14:textId="515F4FCE" w:rsidR="00675F56" w:rsidRPr="00675F56" w:rsidRDefault="00675F56" w:rsidP="00675F56">
      <w:pPr>
        <w:rPr>
          <w:lang w:val="en-US"/>
        </w:rPr>
      </w:pPr>
      <w:r>
        <w:rPr>
          <w:lang w:val="en-US"/>
        </w:rPr>
        <w:t xml:space="preserve">Longitudinal panel studies collect data from the same individuals or units across multiple points time, investigating  how characteristics change through time and establishing temporal precedence between putative causes and effects. By following the same units, panel designs eliminate many confounds that affect cross-sectional comparisons, since each unit serves as its own control. The method has been developed extensively in sociology, economics, and developmental psychology. For methodological guidance see Singer and Willett (2003) </w:t>
      </w:r>
      <w:r>
        <w:rPr>
          <w:i/>
          <w:iCs/>
          <w:lang w:val="en-US"/>
        </w:rPr>
        <w:t xml:space="preserve">Applied Longitudinal Data Analysis </w:t>
      </w:r>
      <w:r>
        <w:rPr>
          <w:lang w:val="en-US"/>
        </w:rPr>
        <w:t xml:space="preserve">and Hsiao (2014) </w:t>
      </w:r>
      <w:r>
        <w:rPr>
          <w:i/>
          <w:iCs/>
          <w:lang w:val="en-US"/>
        </w:rPr>
        <w:t>Analysis of Panel Data</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involuntary job loss affects mental health trajectories. The research object is the change in individual-level mental health outcomes over time as a function of employment transitions. Using a national household panel, the researcher compares mental health measures for the same individuals before and after redundancy, establishing temporal precedence and controlling for unobserved individual characteristics that remain stable across waves. The design identifies individual-level causal processes while remaining limited in its purchase on the structural conditions that generate redundancy itself.</w:t>
      </w:r>
    </w:p>
    <w:p w14:paraId="598CE97A" w14:textId="77777777" w:rsidR="00675F56" w:rsidRPr="00675F56" w:rsidRDefault="00675F56" w:rsidP="00675F56">
      <w:pPr>
        <w:rPr>
          <w:lang w:val="en-US"/>
        </w:rPr>
      </w:pPr>
      <w:r>
        <w:rPr>
          <w:i/>
          <w:iCs/>
          <w:lang w:val="en-US"/>
        </w:rPr>
        <w:t xml:space="preserve">Individuals and groups </w:t>
      </w:r>
    </w:p>
    <w:p w14:paraId="0DE5C7B0" w14:textId="77777777" w:rsidR="00675F56" w:rsidRPr="00675F56" w:rsidRDefault="00675F56" w:rsidP="00675F56">
      <w:pPr>
        <w:rPr>
          <w:lang w:val="en-US"/>
        </w:rPr>
      </w:pPr>
      <w:r>
        <w:rPr>
          <w:lang w:val="en-US"/>
        </w:rPr>
        <w:lastRenderedPageBreak/>
        <w:t xml:space="preserve">Panel studies maintain an individualist orientation, following individuals across time and examining changes in individual characteristics and outcomes. They cannot investigate collective properties that emerge, persist, or transform at organizational or community levels independently of the individuals who compose them. </w:t>
      </w:r>
    </w:p>
    <w:p w14:paraId="432A60A9" w14:textId="77777777" w:rsidR="00675F56" w:rsidRPr="00675F56" w:rsidRDefault="00675F56" w:rsidP="00675F56">
      <w:pPr>
        <w:rPr>
          <w:lang w:val="en-US"/>
        </w:rPr>
      </w:pPr>
      <w:r>
        <w:rPr>
          <w:i/>
          <w:iCs/>
          <w:lang w:val="en-US"/>
        </w:rPr>
        <w:t xml:space="preserve">Structure and agency </w:t>
      </w:r>
    </w:p>
    <w:p w14:paraId="4BCB164D" w14:textId="77777777" w:rsidR="00675F56" w:rsidRPr="00675F56" w:rsidRDefault="00675F56" w:rsidP="00675F56">
      <w:pPr>
        <w:rPr>
          <w:lang w:val="en-US"/>
        </w:rPr>
      </w:pPr>
      <w:r>
        <w:rPr>
          <w:lang w:val="en-US"/>
        </w:rPr>
        <w:t xml:space="preserve">Longitudinal panels establish that individual-level characteristics at earlier time points predict individual outcomes at later points, the evidentiary signature of individual-level causal processes. They are less suited to demonstrating that structural conditions operating at collective levels shape individual trajectories independently of individual characteristics, since structural conditions enter the analysis only insofar as they are captured in individual- level variables. </w:t>
      </w:r>
    </w:p>
    <w:p w14:paraId="492358D2" w14:textId="77777777" w:rsidR="00675F56" w:rsidRPr="00675F56" w:rsidRDefault="00675F56" w:rsidP="00675F56">
      <w:pPr>
        <w:rPr>
          <w:lang w:val="en-US"/>
        </w:rPr>
      </w:pPr>
      <w:r>
        <w:rPr>
          <w:i/>
          <w:iCs/>
          <w:lang w:val="en-US"/>
        </w:rPr>
        <w:t xml:space="preserve">Transcendence and immanence </w:t>
      </w:r>
    </w:p>
    <w:p w14:paraId="6C1349C0" w14:textId="615839FC" w:rsidR="00675F56" w:rsidRPr="00675F56" w:rsidDel="006D35C4" w:rsidRDefault="00675F56" w:rsidP="00675F56">
      <w:pPr>
        <w:rPr>
          <w:lang w:val="en-US"/>
        </w:rPr>
      </w:pPr>
      <w:r>
        <w:rPr>
          <w:lang w:val="en-US"/>
        </w:rPr>
        <w:t xml:space="preserve">Panel studies seek generalizable findings about how individual-level processes operate across time, moving towards a transcendent pole. They are less suited to capturing the contextual specificity </w:t>
      </w:r>
    </w:p>
    <w:p w14:paraId="3B01464F" w14:textId="77777777" w:rsidR="00675F56" w:rsidRPr="00675F56" w:rsidDel="006D35C4" w:rsidRDefault="00675F56" w:rsidP="00675F56">
      <w:pPr>
        <w:rPr>
          <w:lang w:val="en-US"/>
        </w:rPr>
      </w:pPr>
    </w:p>
    <w:p w14:paraId="3AF30C68" w14:textId="77777777" w:rsidR="00675F56" w:rsidRPr="00675F56" w:rsidRDefault="00675F56" w:rsidP="00675F56">
      <w:pPr>
        <w:rPr>
          <w:lang w:val="en-US"/>
        </w:rPr>
      </w:pPr>
      <w:r>
        <w:rPr>
          <w:lang w:val="en-US"/>
        </w:rPr>
        <w:t xml:space="preserve">of how changing historical conditions reshape trajectories of particular cohorts or communities. </w:t>
      </w:r>
    </w:p>
    <w:p w14:paraId="192FC51B" w14:textId="77777777" w:rsidR="00675F56" w:rsidRPr="00675F56" w:rsidRDefault="00675F56" w:rsidP="00675F56">
      <w:pPr>
        <w:rPr>
          <w:lang w:val="en-US"/>
        </w:rPr>
      </w:pPr>
      <w:r>
        <w:rPr>
          <w:i/>
          <w:iCs/>
          <w:lang w:val="en-US"/>
        </w:rPr>
        <w:t xml:space="preserve">Characteristic limits </w:t>
      </w:r>
    </w:p>
    <w:p w14:paraId="58A94FAF" w14:textId="77777777" w:rsidR="00675F56" w:rsidRPr="00675F56" w:rsidRDefault="00675F56" w:rsidP="00675F56">
      <w:pPr>
        <w:rPr>
          <w:lang w:val="en-US"/>
        </w:rPr>
      </w:pPr>
      <w:r>
        <w:rPr>
          <w:lang w:val="en-US"/>
        </w:rPr>
        <w:t xml:space="preserve">Standard panel analysis detects continuous gradual change and can miss discontinuous transformations, threshold effects, and sudden structural changes. The method cannot investigate collective properties, and its strengths in establishing temporal precedence at the individual level do not transfer to claims about structural causation. </w:t>
      </w:r>
    </w:p>
    <w:p w14:paraId="7262D339" w14:textId="77777777" w:rsidR="00675F56" w:rsidRPr="00675F56" w:rsidRDefault="00675F56" w:rsidP="00675F56">
      <w:pPr>
        <w:pStyle w:val="Heading3"/>
        <w:rPr>
          <w:lang w:val="en-US"/>
        </w:rPr>
      </w:pPr>
      <w:r>
        <w:rPr>
          <w:b/>
          <w:bCs/>
          <w:i/>
          <w:iCs/>
          <w:lang w:val="en-US"/>
        </w:rPr>
        <w:t xml:space="preserve">11.3.14 Meta-Analysis </w:t>
      </w:r>
    </w:p>
    <w:p w14:paraId="544E2C10" w14:textId="5ECFCDAF" w:rsidR="00675F56" w:rsidRPr="00675F56" w:rsidRDefault="00675F56" w:rsidP="00675F56">
      <w:pPr>
        <w:rPr>
          <w:lang w:val="en-US"/>
        </w:rPr>
      </w:pPr>
      <w:r>
        <w:rPr>
          <w:lang w:val="en-US"/>
        </w:rPr>
        <w:t xml:space="preserve">Meta-analysis quantitatively synthesizes findings from multiple independent studies investigating a similar relationship and then calculates a summary effect size examining whether these effects vary systematically across studies as a function of substantive or methodological moderators. By pooling findings this method increases statistical power and can reveal patterns not visible in individual studies on their own. The method was systematized by Glass (1976) and developed by Hedges and Olkin (1985). For methodological guidance see Borenstein, Hedges, Higgins, and Rothstein (2009) </w:t>
      </w:r>
      <w:r>
        <w:rPr>
          <w:i/>
          <w:iCs/>
          <w:lang w:val="en-US"/>
        </w:rPr>
        <w:t xml:space="preserve">Introduction to Meta-Analysis </w:t>
      </w:r>
      <w:r>
        <w:rPr>
          <w:lang w:val="en-US"/>
        </w:rPr>
        <w:t xml:space="preserve">and Higgins et al. (2019) </w:t>
      </w:r>
      <w:r>
        <w:rPr>
          <w:i/>
          <w:iCs/>
          <w:lang w:val="en-US"/>
        </w:rPr>
        <w:t>Cochrane Handbook for Systematic Reviews of Interventions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whether smaller class sizes improve academic achievement. The research object is the underlying population effect size, estimated by pooling findings from independent primary studies. The researcher identifies comparable studies meeting inclusion criteria, calculates a weighted summary effect size, and tests whether effects vary systematically as a function of substantive moderators such as school level, subject area, or country, distinguishing genuine contextual specificity from statistical noise across heterogeneous study designs.</w:t>
      </w:r>
    </w:p>
    <w:p w14:paraId="55FD537A" w14:textId="77777777" w:rsidR="00675F56" w:rsidRPr="00675F56" w:rsidRDefault="00675F56" w:rsidP="00675F56">
      <w:pPr>
        <w:rPr>
          <w:lang w:val="en-US"/>
        </w:rPr>
      </w:pPr>
      <w:r>
        <w:rPr>
          <w:i/>
          <w:iCs/>
          <w:lang w:val="en-US"/>
        </w:rPr>
        <w:t xml:space="preserve">Individuals and groups </w:t>
      </w:r>
    </w:p>
    <w:p w14:paraId="72785E36" w14:textId="0D92AC78" w:rsidR="00675F56" w:rsidRPr="00675F56" w:rsidRDefault="00675F56" w:rsidP="00675F56">
      <w:pPr>
        <w:rPr>
          <w:lang w:val="en-US"/>
        </w:rPr>
      </w:pPr>
      <w:r>
        <w:rPr>
          <w:lang w:val="en-US"/>
        </w:rPr>
        <w:t xml:space="preserve">Meta-analysis inherits the ontological commitments of the studies it synthesizes. When primary studies are individualist in orientation, the meta-analytic synthesis aggregates </w:t>
        <w:lastRenderedPageBreak/>
        <w:t xml:space="preserve">individual-level findings (and vice versa with collectivism). The method cannot introduce collectivist commitments that were absent from the primary research. </w:t>
      </w:r>
    </w:p>
    <w:p w14:paraId="0EC3373B" w14:textId="77777777" w:rsidR="00675F56" w:rsidRPr="00675F56" w:rsidRDefault="00675F56" w:rsidP="00675F56">
      <w:pPr>
        <w:rPr>
          <w:lang w:val="en-US"/>
        </w:rPr>
      </w:pPr>
      <w:r>
        <w:rPr>
          <w:i/>
          <w:iCs/>
          <w:lang w:val="en-US"/>
        </w:rPr>
        <w:t xml:space="preserve">Transcendence and immanence </w:t>
      </w:r>
    </w:p>
    <w:p w14:paraId="722A7E6A" w14:textId="77777777" w:rsidR="00675F56" w:rsidRPr="00675F56" w:rsidRDefault="00675F56" w:rsidP="00675F56">
      <w:pPr>
        <w:rPr>
          <w:lang w:val="en-US"/>
        </w:rPr>
      </w:pPr>
      <w:r>
        <w:rPr>
          <w:lang w:val="en-US"/>
        </w:rPr>
        <w:t xml:space="preserve">Meta-analysis is explicitly transcendentist, assuming that study findings are sufficiently comparable to be combined and that the summary effect size represents a real tendency operating across contexts. Substantial heterogeneity across studies challenges this assumption and can support an immanentist interpretation that effects are contextually specific. Meta-analysis cannot definitively distinguish between genuine contextual specificity and unmodeled moderators. </w:t>
      </w:r>
    </w:p>
    <w:p w14:paraId="63409A3F" w14:textId="77777777" w:rsidR="00675F56" w:rsidRPr="00675F56" w:rsidRDefault="00675F56" w:rsidP="00675F56">
      <w:pPr>
        <w:rPr>
          <w:lang w:val="en-US"/>
        </w:rPr>
      </w:pPr>
      <w:r>
        <w:rPr>
          <w:i/>
          <w:iCs/>
          <w:lang w:val="en-US"/>
        </w:rPr>
        <w:t xml:space="preserve">Characteristic limits </w:t>
      </w:r>
    </w:p>
    <w:p w14:paraId="406A58E6" w14:textId="77777777" w:rsidR="00675F56" w:rsidRPr="00675F56" w:rsidRDefault="00675F56" w:rsidP="00675F56">
      <w:pPr>
        <w:rPr>
          <w:lang w:val="en-US"/>
        </w:rPr>
      </w:pPr>
      <w:r>
        <w:rPr>
          <w:lang w:val="en-US"/>
        </w:rPr>
        <w:t xml:space="preserve">Meta-analysis works in the empirical domain, aggregating effect sizes without accessing the mechanisms generating those associations. Finding that effects are consistent across studies supports transcendence claims but does not establish the mechanisms through which the relationship operates. </w:t>
      </w:r>
    </w:p>
    <w:p w14:paraId="4AE14C9E" w14:textId="77777777" w:rsidR="00675F56" w:rsidRPr="00675F56" w:rsidRDefault="00675F56" w:rsidP="00675F56">
      <w:pPr>
        <w:pStyle w:val="Heading3"/>
        <w:rPr>
          <w:lang w:val="en-US"/>
        </w:rPr>
      </w:pPr>
      <w:r>
        <w:rPr>
          <w:b/>
          <w:bCs/>
          <w:i/>
          <w:iCs/>
          <w:lang w:val="en-US"/>
        </w:rPr>
        <w:t xml:space="preserve">11.3.15 Multi-Level Modeling </w:t>
      </w:r>
    </w:p>
    <w:p w14:paraId="404513CD" w14:textId="77777777" w:rsidR="00675F56" w:rsidRPr="00675F56" w:rsidRDefault="00675F56" w:rsidP="00675F56">
      <w:pPr>
        <w:rPr>
          <w:lang w:val="en-US"/>
        </w:rPr>
      </w:pPr>
      <w:r>
        <w:rPr>
          <w:lang w:val="en-US"/>
        </w:rPr>
        <w:t xml:space="preserve">Multi-level modeling, also known as hierarchical linear modeling or mixed-effects modeling, is a statistical method for analyzing data with a nested structure, such as students within schools, employees within organizations, or citizens within countries. By modeling variance at each level separately, it can test whether group-level properties predict outcomes beyond individual-level characteristics and whether individual-level relationships vary across groups. For methodological guidance see Raudenbush and Bryk (2002) </w:t>
      </w:r>
      <w:r>
        <w:rPr>
          <w:i/>
          <w:iCs/>
          <w:lang w:val="en-US"/>
        </w:rPr>
        <w:t xml:space="preserve">Hierarchical Linear Models </w:t>
      </w:r>
      <w:r>
        <w:rPr>
          <w:lang w:val="en-US"/>
        </w:rPr>
        <w:t xml:space="preserve">and Snijders and Bosker (2012) </w:t>
      </w:r>
      <w:r>
        <w:rPr>
          <w:i/>
          <w:iCs/>
          <w:lang w:val="en-US"/>
        </w:rPr>
        <w:t>Multilevel Analysis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whether school-level resources predict student achievement beyond individual-level characteristics. The research object is student attainment as shaped by both individual attributes and school-level properties understood as genuinely collective rather than simply aggregated from individuals. The method models variance at both levels simultaneously, testing whether school-level variables such as per-pupil expenditure predict outcomes after individual ability, socioeconomic background, and prior attainment are controlled at the individual level.</w:t>
      </w:r>
    </w:p>
    <w:p w14:paraId="35158779" w14:textId="77777777" w:rsidR="00675F56" w:rsidRPr="00675F56" w:rsidRDefault="00675F56" w:rsidP="00675F56">
      <w:pPr>
        <w:rPr>
          <w:lang w:val="en-US"/>
        </w:rPr>
      </w:pPr>
      <w:r>
        <w:rPr>
          <w:i/>
          <w:iCs/>
          <w:lang w:val="en-US"/>
        </w:rPr>
        <w:t xml:space="preserve">Individuals and groups </w:t>
      </w:r>
    </w:p>
    <w:p w14:paraId="15FB0B4B" w14:textId="77777777" w:rsidR="00675F56" w:rsidRPr="00675F56" w:rsidDel="006D24D6" w:rsidRDefault="00675F56" w:rsidP="00675F56">
      <w:pPr>
        <w:rPr>
          <w:lang w:val="en-US"/>
        </w:rPr>
      </w:pPr>
      <w:r>
        <w:rPr>
          <w:lang w:val="en-US"/>
        </w:rPr>
        <w:t xml:space="preserve">Multi-level modeling straddles both levels by modeling individual and group characteristics simultaneously. It can test whether group-level properties matter beyond individual-level variation, a methodological operationalization of the collectivist claim that groups possess </w:t>
      </w:r>
    </w:p>
    <w:p w14:paraId="5AED0A05" w14:textId="77777777" w:rsidR="00675F56" w:rsidRPr="00675F56" w:rsidDel="006D24D6" w:rsidRDefault="00675F56" w:rsidP="00675F56">
      <w:pPr>
        <w:rPr>
          <w:lang w:val="en-US"/>
        </w:rPr>
      </w:pPr>
    </w:p>
    <w:p w14:paraId="52A6507C" w14:textId="77777777" w:rsidR="00675F56" w:rsidRPr="00675F56" w:rsidRDefault="00675F56" w:rsidP="00675F56">
      <w:pPr>
        <w:rPr>
          <w:lang w:val="en-US"/>
        </w:rPr>
      </w:pPr>
      <w:r>
        <w:rPr>
          <w:lang w:val="en-US"/>
        </w:rPr>
        <w:t xml:space="preserve">irreducible properties. However, the method operationalizes group properties as measured variables rather than as emergent entities with qualitatively distinct causal powers, which limits the strength of collectivist claims it can sustain. </w:t>
      </w:r>
    </w:p>
    <w:p w14:paraId="516A89C0" w14:textId="77777777" w:rsidR="00675F56" w:rsidRPr="00675F56" w:rsidRDefault="00675F56" w:rsidP="00675F56">
      <w:pPr>
        <w:rPr>
          <w:lang w:val="en-US"/>
        </w:rPr>
      </w:pPr>
      <w:r>
        <w:rPr>
          <w:i/>
          <w:iCs/>
          <w:lang w:val="en-US"/>
        </w:rPr>
        <w:t xml:space="preserve">Transcendence and immanence </w:t>
      </w:r>
    </w:p>
    <w:p w14:paraId="7F336962" w14:textId="77777777" w:rsidR="00675F56" w:rsidRPr="00675F56" w:rsidRDefault="00675F56" w:rsidP="00675F56">
      <w:pPr>
        <w:rPr>
          <w:lang w:val="en-US"/>
        </w:rPr>
      </w:pPr>
      <w:r>
        <w:rPr>
          <w:lang w:val="en-US"/>
        </w:rPr>
        <w:t xml:space="preserve">Multi-level modeling can test whether individual-level relationships are moderated by group- level context, a formal way of examining whether mechanisms operate differently across settings. Finding significant cross-level interactions supports contextual sensitivity without necessarily establishing immanence in the strong sense that mechanisms are constitutively shaped by their contexts. </w:t>
      </w:r>
    </w:p>
    <w:p w14:paraId="725EBE3F" w14:textId="77777777" w:rsidR="00675F56" w:rsidRPr="00675F56" w:rsidRDefault="00675F56" w:rsidP="00675F56">
      <w:pPr>
        <w:rPr>
          <w:lang w:val="en-US"/>
        </w:rPr>
      </w:pPr>
      <w:r>
        <w:rPr>
          <w:i/>
          <w:iCs/>
          <w:lang w:val="en-US"/>
        </w:rPr>
        <w:lastRenderedPageBreak/>
        <w:t xml:space="preserve">Characteristic limits </w:t>
      </w:r>
    </w:p>
    <w:p w14:paraId="37B57B96" w14:textId="77777777" w:rsidR="00675F56" w:rsidRPr="00675F56" w:rsidRDefault="00675F56" w:rsidP="00675F56">
      <w:pPr>
        <w:rPr>
          <w:lang w:val="en-US"/>
        </w:rPr>
      </w:pPr>
      <w:r>
        <w:rPr>
          <w:lang w:val="en-US"/>
        </w:rPr>
        <w:t xml:space="preserve">The method's characteristic limit is that finding significant group-level variance or cross-level effects does not establish genuine emergence or structural causation. Group properties must be operationalized as measured variables, and the method works within the empirical domain, requiring theoretical argument to connect its findings to claims about real mechanisms. </w:t>
      </w:r>
    </w:p>
    <w:p w14:paraId="4852F758" w14:textId="77777777" w:rsidR="00675F56" w:rsidRPr="00675F56" w:rsidRDefault="00675F56" w:rsidP="00675F56">
      <w:pPr>
        <w:pStyle w:val="Heading3"/>
        <w:rPr>
          <w:lang w:val="en-US"/>
        </w:rPr>
      </w:pPr>
      <w:r>
        <w:rPr>
          <w:b/>
          <w:bCs/>
          <w:i/>
          <w:iCs/>
          <w:lang w:val="en-US"/>
        </w:rPr>
        <w:t xml:space="preserve">11.3.16 Multi-Sited Ethnography </w:t>
      </w:r>
    </w:p>
    <w:p w14:paraId="31E7BA3E" w14:textId="77777777" w:rsidR="00675F56" w:rsidRPr="00675F56" w:rsidRDefault="00675F56" w:rsidP="00675F56">
      <w:r>
        <w:rPr>
          <w:lang w:val="en-US"/>
        </w:rPr>
        <w:t xml:space="preserve">Multi-sited ethnography extends fieldwork by following phenomena, objects, persons, or ideas across multiple locations rather than conducting intensive investigation of a single bounded site. The approach was developed in response to the recognition that many social phenomena are constituted through connections and flows that cross local settings, and that single-site studies may therefore produce systematically partial accounts. The method was developed by Marcus (1995). For methodological guidance see Falzon (2009) </w:t>
      </w:r>
      <w:r>
        <w:rPr>
          <w:i/>
          <w:iCs/>
          <w:lang w:val="en-US"/>
        </w:rPr>
        <w:t>Multi-Sited Ethnography</w:t>
      </w:r>
      <w:r>
        <w:rPr>
          <w:lang w:val="en-US"/>
        </w:rPr>
        <w:t xml:space="preserve">. </w:t>
      </w:r>
      <w:r>
        <w:t xml:space="preserve">For exemplary work see Burawoy et al. (2000) </w:t>
      </w:r>
      <w:r>
        <w:rPr>
          <w:i/>
          <w:iCs/>
        </w:rPr>
        <w:t>Global Ethnography</w:t>
      </w:r>
      <w: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fair-trade certification standards are produced, negotiated, and experienced across the supply chain of a commodity. The research object is the set of connections, translations, and tensions that link producer cooperatives, certification bodies, importers, and retail markets across geographically dispersed sites. The researcher follows the commodity through its chain, spending periods in each site to document how the same certification standard is interpreted and experienced differently at each node, and how those differences are managed or suppressed as the commodity moves.</w:t>
      </w:r>
    </w:p>
    <w:p w14:paraId="21E0BD1C" w14:textId="77777777" w:rsidR="00675F56" w:rsidRPr="00675F56" w:rsidRDefault="00675F56" w:rsidP="00675F56">
      <w:pPr>
        <w:rPr>
          <w:lang w:val="en-US"/>
        </w:rPr>
      </w:pPr>
      <w:r>
        <w:rPr>
          <w:i/>
          <w:iCs/>
          <w:lang w:val="en-US"/>
        </w:rPr>
        <w:t xml:space="preserve">Individuals and groups </w:t>
      </w:r>
    </w:p>
    <w:p w14:paraId="45C393D1" w14:textId="77777777" w:rsidR="00675F56" w:rsidRPr="00675F56" w:rsidRDefault="00675F56" w:rsidP="00675F56">
      <w:pPr>
        <w:rPr>
          <w:lang w:val="en-US"/>
        </w:rPr>
      </w:pPr>
      <w:r>
        <w:rPr>
          <w:lang w:val="en-US"/>
        </w:rPr>
        <w:t xml:space="preserve">Multi-sited ethnography retains the collectivist orientation of ethnography more broadly. Its units of investigation are the connections, flows, and networks that link sites, accessing how collective meanings and practices are reproduced, transformed, or contested as they travel across settings. </w:t>
      </w:r>
    </w:p>
    <w:p w14:paraId="7B0A9F0D" w14:textId="77777777" w:rsidR="00675F56" w:rsidRPr="00675F56" w:rsidRDefault="00675F56" w:rsidP="00675F56">
      <w:pPr>
        <w:rPr>
          <w:lang w:val="en-US"/>
        </w:rPr>
      </w:pPr>
      <w:r>
        <w:rPr>
          <w:i/>
          <w:iCs/>
          <w:lang w:val="en-US"/>
        </w:rPr>
        <w:t xml:space="preserve">Material and ideational </w:t>
      </w:r>
    </w:p>
    <w:p w14:paraId="6184A5AA" w14:textId="77777777" w:rsidR="00675F56" w:rsidRPr="00675F56" w:rsidRDefault="00675F56" w:rsidP="00675F56">
      <w:pPr>
        <w:rPr>
          <w:lang w:val="en-US"/>
        </w:rPr>
      </w:pPr>
      <w:r>
        <w:rPr>
          <w:lang w:val="en-US"/>
        </w:rPr>
        <w:t xml:space="preserve">Multi-sited ethnography is well suited to investigating how similar material conditions are interpreted differently across cultural contexts, how similar meanings generate different material organizations, and how material and ideational factors interact across spatial settings. By following both object and the meanings attached to them, it can attend to both dimensions simultaneously. </w:t>
      </w:r>
    </w:p>
    <w:p w14:paraId="38D452FC" w14:textId="77777777" w:rsidR="00675F56" w:rsidRPr="00675F56" w:rsidRDefault="00675F56" w:rsidP="00675F56">
      <w:pPr>
        <w:rPr>
          <w:lang w:val="en-US"/>
        </w:rPr>
      </w:pPr>
      <w:r>
        <w:rPr>
          <w:i/>
          <w:iCs/>
          <w:lang w:val="en-US"/>
        </w:rPr>
        <w:t xml:space="preserve">Transcendence and immanence </w:t>
      </w:r>
    </w:p>
    <w:p w14:paraId="44805A6C" w14:textId="77777777" w:rsidR="00675F56" w:rsidRPr="00675F56" w:rsidRDefault="00675F56" w:rsidP="00675F56">
      <w:pPr>
        <w:rPr>
          <w:lang w:val="en-US"/>
        </w:rPr>
      </w:pPr>
      <w:r>
        <w:rPr>
          <w:lang w:val="en-US"/>
        </w:rPr>
        <w:t xml:space="preserve">Multi-sited ethnography occupies a middle position. By following phenomena across sites, it can identify elements that travel and persist, pointing toward transcendence, while attending to how those phenomena are transformed as they move through different contexts, pointing toward immanence. </w:t>
      </w:r>
    </w:p>
    <w:p w14:paraId="0B19C903" w14:textId="77777777" w:rsidR="00675F56" w:rsidRPr="00675F56" w:rsidRDefault="00675F56" w:rsidP="00675F56">
      <w:pPr>
        <w:rPr>
          <w:lang w:val="en-US"/>
        </w:rPr>
      </w:pPr>
      <w:r>
        <w:rPr>
          <w:i/>
          <w:iCs/>
          <w:lang w:val="en-US"/>
        </w:rPr>
        <w:t xml:space="preserve">Characteristic limits </w:t>
      </w:r>
    </w:p>
    <w:p w14:paraId="77414184" w14:textId="77777777" w:rsidR="00675F56" w:rsidRPr="00675F56" w:rsidRDefault="00675F56" w:rsidP="00675F56">
      <w:pPr>
        <w:rPr>
          <w:lang w:val="en-US"/>
        </w:rPr>
      </w:pPr>
      <w:r>
        <w:rPr>
          <w:lang w:val="en-US"/>
        </w:rPr>
        <w:t xml:space="preserve">The method faces challenges of coherence and boundedness: deciding what to follow across sites and when the field has been adequately covered requires principled justification. Establishing causal priority between material and ideational factors </w:t>
        <w:lastRenderedPageBreak/>
        <w:t xml:space="preserve">remains difficult because the method documents correlations and sequences rather than providing tools to decompose causal contributions. </w:t>
      </w:r>
    </w:p>
    <w:p w14:paraId="1D7B6575" w14:textId="77777777" w:rsidR="00675F56" w:rsidRPr="00675F56" w:rsidDel="00C24D67" w:rsidRDefault="00675F56" w:rsidP="00675F56">
      <w:pPr>
        <w:pStyle w:val="Heading3"/>
        <w:rPr>
          <w:lang w:val="en-US"/>
        </w:rPr>
      </w:pPr>
      <w:r>
        <w:rPr>
          <w:b/>
          <w:bCs/>
          <w:i/>
          <w:iCs/>
          <w:lang w:val="en-US"/>
        </w:rPr>
        <w:t>11.3.17 Network Analysis</w:t>
      </w:r>
      <w:r>
        <w:rPr>
          <w:b/>
          <w:bCs/>
          <w:i/>
          <w:iCs/>
          <w:lang w:val="en-US"/>
        </w:rPr>
        <w:t xml:space="preserve"> </w:t>
      </w:r>
    </w:p>
    <w:p w14:paraId="21F000C3" w14:textId="77777777" w:rsidR="00675F56" w:rsidRPr="00675F56" w:rsidRDefault="00675F56" w:rsidP="00675F56">
      <w:pPr>
        <w:rPr>
          <w:lang w:val="en-US"/>
        </w:rPr>
      </w:pPr>
    </w:p>
    <w:p w14:paraId="0F5A08B7" w14:textId="77777777" w:rsidR="00675F56" w:rsidRPr="00675F56" w:rsidRDefault="00675F56" w:rsidP="00675F56">
      <w:pPr>
        <w:rPr>
          <w:lang w:val="en-US"/>
        </w:rPr>
      </w:pPr>
      <w:r>
        <w:rPr>
          <w:lang w:val="en-US"/>
        </w:rPr>
        <w:t xml:space="preserve">Network analysis examines relational structures connecting actors by systematically mapping and measuring properties of networks including density, centrality, clustering, structural holes, and path length. Rather than treating actors as possessing fixed individual attributes, it treats the relations between actors as the primary object of investigation and derives actor properties from their position within relational configurations. For methodological guidance see Wasserman and Faust (1994) </w:t>
      </w:r>
      <w:r>
        <w:rPr>
          <w:i/>
          <w:iCs/>
          <w:lang w:val="en-US"/>
        </w:rPr>
        <w:t xml:space="preserve">Social Network Analysis </w:t>
      </w:r>
      <w:r>
        <w:rPr>
          <w:lang w:val="en-US"/>
        </w:rPr>
        <w:t xml:space="preserve">and Borgatti, Everett, and Johnson (2013) </w:t>
      </w:r>
      <w:r>
        <w:rPr>
          <w:i/>
          <w:iCs/>
          <w:lang w:val="en-US"/>
        </w:rPr>
        <w:t>Analyzing Social Networks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ties among corporate board members shape the diffusion of governance practices across firms. The research object is the relational structure connecting boards through shared directors, understood as possessing properties — density, centrality, structural holes — that are irreducible to the attributes of individual firms. Mapping the full network of interlocking directorates, the researcher examines whether firms occupying bridging positions between otherwise disconnected board clusters adopt governance innovations earlier than more peripheral firms, distinguishing network-positional from firm-level explanations.</w:t>
      </w:r>
    </w:p>
    <w:p w14:paraId="0C0D2016" w14:textId="77777777" w:rsidR="00675F56" w:rsidRPr="00675F56" w:rsidRDefault="00675F56" w:rsidP="00675F56">
      <w:pPr>
        <w:rPr>
          <w:lang w:val="en-US"/>
        </w:rPr>
      </w:pPr>
      <w:r>
        <w:rPr>
          <w:i/>
          <w:iCs/>
          <w:lang w:val="en-US"/>
        </w:rPr>
        <w:t xml:space="preserve">Individuals and groups </w:t>
      </w:r>
    </w:p>
    <w:p w14:paraId="04290B61" w14:textId="77777777" w:rsidR="00FC2840" w:rsidRPr="00FC2840" w:rsidRDefault="00675F56" w:rsidP="00FC2840">
      <w:pPr>
        <w:rPr/>
      </w:pPr>
      <w:r>
        <w:rPr>
          <w:lang w:val="en-US"/>
        </w:rPr>
        <w:t xml:space="preserve">Network analysis occupies a relational position that resists reduction to either pole. Network properties are collective by definition, arising from the configuration of relations rather than from individual characteristics. Burt's (1992) structural holes theory demonstrates this: information advantages accruing to actors bridging disconnected clusters are properties of network position, not of individual capability, and persist even when specific individuals occupying bridging positions change. </w:t>
      </w:r>
      <w:r>
        <w:rPr>
          <w:noProof/>
        </w:rPr>
        <w:pict w14:anchorId="3DB63F9B">
          <v:rect id="_x0000_i1025" alt="" style="width:453.6pt;height:.05pt;mso-width-percent:0;mso-height-percent:0;mso-width-percent:0;mso-height-percent:0" o:hralign="center" o:hrstd="t" o:hr="t" fillcolor="#a0a0a0" stroked="f"/>
        </w:pict>
      </w:r>
    </w:p>
    <w:p w14:paraId="35A63FC3" w14:textId="7836811E" w:rsidR="00FC2840" w:rsidRPr="00FC2840" w:rsidRDefault="00FC2840" w:rsidP="00FC2840">
      <w:pPr>
        <w:rPr>
          <w:lang w:val="en-US"/>
        </w:rPr>
      </w:pPr>
      <w:r>
        <w:rPr>
          <w:lang w:val="en-US"/>
        </w:rPr>
        <w:t xml:space="preserve">Burt's (1992) structural holes theory demonstrates </w:t>
      </w:r>
      <w:r>
        <w:rPr>
          <w:lang w:val="en-US"/>
        </w:rPr>
        <w:t xml:space="preserve">precisely </w:t>
      </w:r>
      <w:r>
        <w:rPr>
          <w:lang w:val="en-US"/>
        </w:rPr>
        <w:t xml:space="preserve">this. Actors who bridge disconnected clusters occupy positions that generate information advantages. These advantages are properties of the network position itself, not of the individual occupying it </w:t>
      </w:r>
      <w:r>
        <w:rPr>
          <w:lang w:val="en-US"/>
        </w:rPr>
        <w:t xml:space="preserve">, </w:t>
      </w:r>
      <w:r>
        <w:rPr>
          <w:lang w:val="en-US"/>
        </w:rPr>
        <w:t xml:space="preserve">thus </w:t>
      </w:r>
      <w:r>
        <w:rPr>
          <w:lang w:val="en-US"/>
        </w:rPr>
        <w:t>they persist even when the specific individual in that bridging position changes</w:t>
      </w:r>
      <w:r>
        <w:rPr>
          <w:lang w:val="en-US"/>
        </w:rPr>
        <w:t>.</w:t>
      </w:r>
    </w:p>
    <w:p w14:paraId="6E94AA08" w14:textId="45E8E62B" w:rsidR="00675F56" w:rsidRPr="00675F56" w:rsidRDefault="00675F56" w:rsidP="00675F56">
      <w:pPr>
        <w:rPr>
          <w:lang w:val="en-US"/>
        </w:rPr>
      </w:pPr>
    </w:p>
    <w:p w14:paraId="584BDE08" w14:textId="77777777" w:rsidR="00675F56" w:rsidRPr="00675F56" w:rsidRDefault="00675F56" w:rsidP="00675F56">
      <w:pPr>
        <w:rPr>
          <w:lang w:val="en-US"/>
        </w:rPr>
      </w:pPr>
      <w:r>
        <w:rPr>
          <w:i/>
          <w:iCs/>
          <w:lang w:val="en-US"/>
        </w:rPr>
        <w:t xml:space="preserve">Structure and agency </w:t>
      </w:r>
    </w:p>
    <w:p w14:paraId="7191ACC0" w14:textId="77777777" w:rsidR="00675F56" w:rsidRPr="00675F56" w:rsidRDefault="00675F56" w:rsidP="00675F56">
      <w:pPr>
        <w:rPr>
          <w:lang w:val="en-US"/>
        </w:rPr>
      </w:pPr>
      <w:r>
        <w:rPr>
          <w:lang w:val="en-US"/>
        </w:rPr>
        <w:t xml:space="preserve">Network analysis can be deployed in either direction. Network structures can be treated as constraining individual action, a structuralist move, or as resources that strategically oriented actors exploit and reshape, an agential move. Granovetter's (1973) analysis of the strength of weak ties and Burt's (1992) structural holes theory illustrate how the same network properties can be read from either direction depending on the theoretical framing. </w:t>
      </w:r>
    </w:p>
    <w:p w14:paraId="7C9D2567" w14:textId="77777777" w:rsidR="00675F56" w:rsidRPr="00675F56" w:rsidRDefault="00675F56" w:rsidP="00675F56">
      <w:pPr>
        <w:rPr>
          <w:lang w:val="en-US"/>
        </w:rPr>
      </w:pPr>
      <w:r>
        <w:rPr>
          <w:i/>
          <w:iCs/>
          <w:lang w:val="en-US"/>
        </w:rPr>
        <w:t xml:space="preserve">Transcendence and immanence </w:t>
      </w:r>
    </w:p>
    <w:p w14:paraId="33B0D0BD" w14:textId="77777777" w:rsidR="00675F56" w:rsidRPr="00675F56" w:rsidRDefault="00675F56" w:rsidP="00675F56">
      <w:pPr>
        <w:rPr>
          <w:lang w:val="en-US"/>
        </w:rPr>
      </w:pPr>
      <w:r>
        <w:rPr>
          <w:lang w:val="en-US"/>
        </w:rPr>
        <w:t xml:space="preserve">Network analysis typically seeks universal structural principles: that bridging structural holes generates information advantages, that network density shapes norm enforcement, that centrality correlates with influence. Whether specific network configurations are portable across settings or shaped by particular historical and </w:t>
        <w:lastRenderedPageBreak/>
        <w:t xml:space="preserve">institutional contexts is an empirical question the method can investigate through cross-context comparison. </w:t>
      </w:r>
    </w:p>
    <w:p w14:paraId="2144A0EE" w14:textId="77777777" w:rsidR="00675F56" w:rsidRPr="00675F56" w:rsidRDefault="00675F56" w:rsidP="00675F56">
      <w:pPr>
        <w:rPr>
          <w:lang w:val="en-US"/>
        </w:rPr>
      </w:pPr>
      <w:r>
        <w:rPr>
          <w:i/>
          <w:iCs/>
          <w:lang w:val="en-US"/>
        </w:rPr>
        <w:t xml:space="preserve">Characteristic limits </w:t>
      </w:r>
    </w:p>
    <w:p w14:paraId="60DE7BC3" w14:textId="77777777" w:rsidR="00675F56" w:rsidRPr="00675F56" w:rsidRDefault="00675F56" w:rsidP="00675F56">
      <w:pPr>
        <w:rPr>
          <w:lang w:val="en-US"/>
        </w:rPr>
      </w:pPr>
      <w:r>
        <w:rPr>
          <w:lang w:val="en-US"/>
        </w:rPr>
        <w:t xml:space="preserve">Network properties are mathematical constructs, and whether these constructs correspond to real causal powers requires theoretical argument beyond their calculation. The direction of causation between network position and outcomes is often difficult to establish without longitudinal data or quasi-experimental designs. </w:t>
      </w:r>
    </w:p>
    <w:p w14:paraId="6F1A743C" w14:textId="77777777" w:rsidR="00675F56" w:rsidRPr="00675F56" w:rsidRDefault="00675F56" w:rsidP="00675F56">
      <w:pPr>
        <w:pStyle w:val="Heading3"/>
        <w:rPr>
          <w:lang w:val="en-US"/>
        </w:rPr>
      </w:pPr>
      <w:r>
        <w:rPr>
          <w:b/>
          <w:bCs/>
          <w:i/>
          <w:iCs/>
          <w:lang w:val="en-US"/>
        </w:rPr>
        <w:t xml:space="preserve">11.3.18 Phenomenological Approaches and Interpretive Phenomenological Analysis </w:t>
      </w:r>
    </w:p>
    <w:p w14:paraId="64EA25E5" w14:textId="77777777" w:rsidR="00675F56" w:rsidRPr="00675F56" w:rsidRDefault="00675F56" w:rsidP="00675F56">
      <w:pPr>
        <w:rPr>
          <w:lang w:val="en-US"/>
        </w:rPr>
      </w:pPr>
      <w:r>
        <w:rPr>
          <w:lang w:val="en-US"/>
        </w:rPr>
        <w:t xml:space="preserve">Phenomenological approaches in social research investigate the structures of lived experience as encountered by persons in their everyday worlds, bracketing prior theoretical assumptions to describe how phenomena appear to consciousness and how the lifeworld is constituted through practical engagement. The tradition originates with Husserl, was extended to the social world by Schutz (1967) </w:t>
      </w:r>
      <w:r>
        <w:rPr>
          <w:i/>
          <w:iCs/>
          <w:lang w:val="en-US"/>
        </w:rPr>
        <w:t>The Phenomenology of the Social World</w:t>
      </w:r>
      <w:r>
        <w:rPr>
          <w:lang w:val="en-US"/>
        </w:rPr>
        <w:t xml:space="preserve">, and developed methodologically through Berger and Luckmann's (1966) sociology of knowledge. Interpretive Phenomenological Analysis (IPA), developed by Smith (1996, 2004), combines phenomenological attention to lived experience with hermeneutic sensitivity to the interpretive process. For methodological guidance see Smith, Flowers, and Larkin (2009) </w:t>
      </w:r>
      <w:r>
        <w:rPr>
          <w:i/>
          <w:iCs/>
          <w:lang w:val="en-US"/>
        </w:rPr>
        <w:t xml:space="preserve">Interpretive Phenomenological Analysis </w:t>
      </w:r>
      <w:r>
        <w:rPr>
          <w:lang w:val="en-US"/>
        </w:rPr>
        <w:t xml:space="preserve">and Moustakas (1994) </w:t>
      </w:r>
      <w:r>
        <w:rPr>
          <w:i/>
          <w:iCs/>
          <w:lang w:val="en-US"/>
        </w:rPr>
        <w:t>Phenomenological Research Methods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women with a recent cancer diagnosis make sense of changes in their relationship to their bodies and their sense of future. The research object is the structure of lived experience as constituted within the specific biographical, cultural, and medical circumstances of each participant. Working through individual accounts with IPA, the researcher moves iteratively between close reading of specific passages and interpretation of the broader experiential themes they express, building an analysis of shared structures from thoroughly examined individual cases before seeking patterns across the sample.</w:t>
      </w:r>
    </w:p>
    <w:p w14:paraId="05BCA507" w14:textId="77777777" w:rsidR="00675F56" w:rsidRPr="00675F56" w:rsidRDefault="00675F56" w:rsidP="00675F56">
      <w:pPr>
        <w:rPr>
          <w:lang w:val="en-US"/>
        </w:rPr>
      </w:pPr>
      <w:r>
        <w:rPr>
          <w:i/>
          <w:iCs/>
          <w:lang w:val="en-US"/>
        </w:rPr>
        <w:t xml:space="preserve">Individuals and groups </w:t>
      </w:r>
    </w:p>
    <w:p w14:paraId="3113A10F" w14:textId="1ACC1FC4" w:rsidR="00675F56" w:rsidRPr="00675F56" w:rsidRDefault="00675F56" w:rsidP="00675F56">
      <w:pPr>
        <w:rPr>
          <w:lang w:val="en-US"/>
        </w:rPr>
      </w:pPr>
      <w:r>
        <w:rPr>
          <w:lang w:val="en-US"/>
        </w:rPr>
        <w:t xml:space="preserve">Phenomenological approaches focus on individual experience as the primary data, but their analytical interest lies in the shared structures of experience rather than individual variation as such. Schutz's (1967) account of typifications and the natural attitude points toward the collective dimension: the taken-for-granted structures through which actors experience their worlds are inherited from shared cultural and social life. IPA's idiographic orientation, working through thoroughly analyzed individual cases before seeking shared patterns, maintains the commitment to particularity while allowing analytical generalization. </w:t>
      </w:r>
    </w:p>
    <w:p w14:paraId="59169A09" w14:textId="77777777" w:rsidR="00675F56" w:rsidDel="00B60129" w:rsidRDefault="00675F56" w:rsidP="00675F56">
      <w:pPr>
        <w:rPr>
          <w:lang w:val="en-US"/>
        </w:rPr>
      </w:pPr>
      <w:r>
        <w:rPr>
          <w:i/>
          <w:iCs/>
          <w:lang w:val="en-US"/>
        </w:rPr>
        <w:t xml:space="preserve">Material and ideational </w:t>
      </w:r>
    </w:p>
    <w:p w14:paraId="476A6197" w14:textId="77777777" w:rsidR="00B60129" w:rsidRPr="00675F56" w:rsidRDefault="00B60129" w:rsidP="00675F56">
      <w:pPr>
        <w:rPr>
          <w:lang w:val="en-US"/>
        </w:rPr>
      </w:pPr>
    </w:p>
    <w:p w14:paraId="53202016" w14:textId="5C6BB908" w:rsidR="00675F56" w:rsidRPr="00675F56" w:rsidDel="00B60129" w:rsidRDefault="00675F56" w:rsidP="00675F56">
      <w:pPr>
        <w:rPr>
          <w:lang w:val="en-US"/>
        </w:rPr>
      </w:pPr>
    </w:p>
    <w:p w14:paraId="127BDD83" w14:textId="77777777" w:rsidR="00675F56" w:rsidRPr="00675F56" w:rsidRDefault="00675F56" w:rsidP="00675F56">
      <w:pPr>
        <w:rPr>
          <w:lang w:val="en-US"/>
        </w:rPr>
      </w:pPr>
      <w:r>
        <w:rPr>
          <w:lang w:val="en-US"/>
        </w:rPr>
        <w:t xml:space="preserve">Phenomenological approaches are firmly ideationalist, treating the experienced meanings through which actors inhabit their worlds as constitutive of social reality. Material conditions enter phenomenological analysis as they are experienced rather than as independently constituted constraints, making the method poorly suited to investigating how material arrangements operate below the threshold of actors' awareness. </w:t>
      </w:r>
    </w:p>
    <w:p w14:paraId="34EDA52F" w14:textId="77777777" w:rsidR="00675F56" w:rsidRPr="00675F56" w:rsidRDefault="00675F56" w:rsidP="00675F56">
      <w:pPr>
        <w:rPr>
          <w:lang w:val="en-US"/>
        </w:rPr>
      </w:pPr>
      <w:r>
        <w:rPr>
          <w:i/>
          <w:iCs/>
          <w:lang w:val="en-US"/>
        </w:rPr>
        <w:t xml:space="preserve">Transcendence and immanence </w:t>
      </w:r>
    </w:p>
    <w:p w14:paraId="1BE6D790" w14:textId="77777777" w:rsidR="00675F56" w:rsidRPr="00675F56" w:rsidRDefault="00675F56" w:rsidP="00675F56">
      <w:pPr>
        <w:rPr>
          <w:lang w:val="en-US"/>
        </w:rPr>
      </w:pPr>
      <w:r>
        <w:rPr>
          <w:lang w:val="en-US"/>
        </w:rPr>
        <w:t xml:space="preserve">Phenomenological approaches sit between the poles. Husserl's original project sought universal structures of consciousness, a strongly transcendent aspiration. Applied phenomenological research, including IPA, is more contextually sensitive, attending to how particular experiences are constituted within specific biographical, cultural, and social circumstances. IPA's small, purposively selected samples reflect a methodological logic prioritizing depth of engagement with contextual particularity over breadth of coverage across populations. </w:t>
      </w:r>
    </w:p>
    <w:p w14:paraId="01E880D7" w14:textId="77777777" w:rsidR="00675F56" w:rsidRPr="00675F56" w:rsidRDefault="00675F56" w:rsidP="00675F56">
      <w:pPr>
        <w:rPr>
          <w:lang w:val="en-US"/>
        </w:rPr>
      </w:pPr>
      <w:r>
        <w:rPr>
          <w:i/>
          <w:iCs/>
          <w:lang w:val="en-US"/>
        </w:rPr>
        <w:t xml:space="preserve">Characteristic limits </w:t>
      </w:r>
    </w:p>
    <w:p w14:paraId="4FA35D32" w14:textId="77777777" w:rsidR="00675F56" w:rsidRPr="00675F56" w:rsidRDefault="00675F56" w:rsidP="00675F56">
      <w:pPr>
        <w:rPr>
          <w:lang w:val="en-US"/>
        </w:rPr>
      </w:pPr>
      <w:r>
        <w:rPr>
          <w:lang w:val="en-US"/>
        </w:rPr>
        <w:t xml:space="preserve">Phenomenological approaches cannot establish how material conditions shape experience independently of how they are experienced, cannot access mechanisms operating below actors' awareness, and cannot generate population-level prevalence claims. The relationship between participants' verbal accounts of their experience and the structure of experience itself is never transparent. </w:t>
      </w:r>
    </w:p>
    <w:p w14:paraId="323AD690" w14:textId="77777777" w:rsidR="00675F56" w:rsidRPr="00675F56" w:rsidRDefault="00675F56" w:rsidP="00675F56">
      <w:pPr>
        <w:pStyle w:val="Heading3"/>
        <w:rPr>
          <w:lang w:val="en-US"/>
        </w:rPr>
      </w:pPr>
      <w:r>
        <w:rPr>
          <w:b/>
          <w:bCs/>
          <w:i/>
          <w:iCs/>
          <w:lang w:val="en-US"/>
        </w:rPr>
        <w:t xml:space="preserve">11.3.19 Process Tracing </w:t>
      </w:r>
    </w:p>
    <w:p w14:paraId="16461F44" w14:textId="77777777" w:rsidR="00675F56" w:rsidRPr="00675F56" w:rsidRDefault="00675F56" w:rsidP="00675F56">
      <w:pPr>
        <w:rPr>
          <w:lang w:val="en-US"/>
        </w:rPr>
      </w:pPr>
      <w:r>
        <w:rPr>
          <w:lang w:val="en-US"/>
        </w:rPr>
        <w:t xml:space="preserve">Process tracing is a within-case method for identifying the causal mechanisms connecting an independent variable to an outcome by examining the sequence of events, decisions, and conditions constituting the causal pathway. Rather than establishing causation through cross- case comparison, it establishes causation by opening up the causal process and testing whether the hypothesized mechanism is actually present and correctly sequenced. The method has been synthesized by Beach and Pedersen (2013) </w:t>
      </w:r>
      <w:r>
        <w:rPr>
          <w:i/>
          <w:iCs/>
          <w:lang w:val="en-US"/>
        </w:rPr>
        <w:t xml:space="preserve">Process-Tracing Methods </w:t>
      </w:r>
      <w:r>
        <w:rPr>
          <w:lang w:val="en-US"/>
        </w:rPr>
        <w:t xml:space="preserve">and Bennett and Checkel (2015) </w:t>
      </w:r>
      <w:r>
        <w:rPr>
          <w:i/>
          <w:iCs/>
          <w:lang w:val="en-US"/>
        </w:rPr>
        <w:t>Process Tracing: From Metaphor to Analytic Tool</w:t>
      </w:r>
      <w:r>
        <w:rPr>
          <w:lang w:val="en-US"/>
        </w:rPr>
        <w:t xml:space="preserve">. For methodological guidance see these volumes and Collier (2011).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Germany adopted renewable energy legislation despite sustained resistance from established energy utilities. The research object is the specific causal mechanism — the sequence of political decisions, coalition shifts, and critical junctures — that connected initial advocacy coalition formation to legislative outcome. The researcher reconstructs the historical sequence, testing at each step whether the hypothesised mechanism is evidenced by documentary, archival, and interview sources, distinguishing between evidence that is consistent with the mechanism and evidence that is uniquely predicted by it.</w:t>
      </w:r>
    </w:p>
    <w:p w14:paraId="1B2A3C16" w14:textId="77777777" w:rsidR="00675F56" w:rsidRPr="00675F56" w:rsidRDefault="00675F56" w:rsidP="00675F56">
      <w:pPr>
        <w:rPr>
          <w:lang w:val="en-US"/>
        </w:rPr>
      </w:pPr>
      <w:r>
        <w:rPr>
          <w:i/>
          <w:iCs/>
          <w:lang w:val="en-US"/>
        </w:rPr>
        <w:t xml:space="preserve">Individuals and groups </w:t>
      </w:r>
    </w:p>
    <w:p w14:paraId="3E4FDD4D" w14:textId="77777777" w:rsidR="00675F56" w:rsidRPr="00675F56" w:rsidRDefault="00675F56" w:rsidP="00675F56">
      <w:pPr>
        <w:rPr>
          <w:lang w:val="en-US"/>
        </w:rPr>
      </w:pPr>
      <w:r>
        <w:rPr>
          <w:lang w:val="en-US"/>
        </w:rPr>
        <w:lastRenderedPageBreak/>
        <w:t xml:space="preserve">Process tracing is flexible across positions. It can trace mechanisms operating at the collective level, examining how organizational decisions, coalition formations, and institutional responses constitute the causal pathway, or at the individual level, examining how key actors' beliefs and decisions constitute the mechanism. </w:t>
      </w:r>
    </w:p>
    <w:p w14:paraId="18E9AD7D" w14:textId="77777777" w:rsidR="00675F56" w:rsidRPr="00675F56" w:rsidRDefault="00675F56" w:rsidP="00675F56">
      <w:pPr>
        <w:rPr>
          <w:lang w:val="en-US"/>
        </w:rPr>
      </w:pPr>
      <w:r>
        <w:rPr>
          <w:i/>
          <w:iCs/>
          <w:lang w:val="en-US"/>
        </w:rPr>
        <w:t xml:space="preserve">Structure and agency </w:t>
      </w:r>
    </w:p>
    <w:p w14:paraId="57B15812" w14:textId="77777777" w:rsidR="00675F56" w:rsidRPr="00675F56" w:rsidRDefault="00675F56" w:rsidP="00675F56">
      <w:pPr>
        <w:rPr>
          <w:lang w:val="en-US"/>
        </w:rPr>
      </w:pPr>
      <w:r>
        <w:rPr>
          <w:lang w:val="en-US"/>
        </w:rPr>
        <w:t xml:space="preserve">Process tracing is particularly well suited to investigating the interaction of structural conditions and agential responses within a specific historical sequence. By tracing the sequence of events, it can examine how structural conditions shaped the options available to actors at each juncture and how actors' choices in turn shaped the subsequent structural context. </w:t>
      </w:r>
    </w:p>
    <w:p w14:paraId="498C8534" w14:textId="77777777" w:rsidR="00675F56" w:rsidRPr="00675F56" w:rsidRDefault="00675F56" w:rsidP="00675F56">
      <w:pPr>
        <w:rPr>
          <w:lang w:val="en-US"/>
        </w:rPr>
      </w:pPr>
      <w:r>
        <w:rPr>
          <w:i/>
          <w:iCs/>
          <w:lang w:val="en-US"/>
        </w:rPr>
        <w:t xml:space="preserve">Material and ideational </w:t>
      </w:r>
    </w:p>
    <w:p w14:paraId="2EDEED7D" w14:textId="77777777" w:rsidR="00675F56" w:rsidRPr="00675F56" w:rsidRDefault="00675F56" w:rsidP="00675F56">
      <w:pPr>
        <w:rPr>
          <w:lang w:val="en-US"/>
        </w:rPr>
      </w:pPr>
      <w:r>
        <w:rPr>
          <w:lang w:val="en-US"/>
        </w:rPr>
        <w:t xml:space="preserve">Process tracing can trace mechanisms of either kind, following how material resource distributions shaped actors' strategic options or how ideational frameworks shaped actors' interpretation of their situation. Its strength is that it can examine the sequence in which material and ideational factors entered the causal pathway, contributing evidence about causal priority. </w:t>
      </w:r>
    </w:p>
    <w:p w14:paraId="3949A6D5" w14:textId="77777777" w:rsidR="00675F56" w:rsidRPr="00675F56" w:rsidRDefault="00675F56" w:rsidP="00675F56">
      <w:pPr>
        <w:rPr>
          <w:lang w:val="en-US"/>
        </w:rPr>
      </w:pPr>
      <w:r>
        <w:rPr>
          <w:i/>
          <w:iCs/>
          <w:lang w:val="en-US"/>
        </w:rPr>
        <w:t xml:space="preserve">Transcendence and immanence </w:t>
      </w:r>
    </w:p>
    <w:p w14:paraId="59920BB9" w14:textId="77777777" w:rsidR="00675F56" w:rsidRPr="00675F56" w:rsidRDefault="00675F56" w:rsidP="00675F56">
      <w:pPr>
        <w:rPr>
          <w:lang w:val="en-US"/>
        </w:rPr>
      </w:pPr>
      <w:r>
        <w:rPr>
          <w:lang w:val="en-US"/>
        </w:rPr>
        <w:t xml:space="preserve">Process tracing is primarily immanentist, generating claims about the specific mechanism that operated in the specific case under investigation. Theoretical generalization requires explicit argument about the conditions under which the identified mechanism would operate in other cases, which Beach and Pedersen (2013) address through theory-building process tracing. </w:t>
      </w:r>
    </w:p>
    <w:p w14:paraId="52D8A9F3" w14:textId="77777777" w:rsidR="00675F56" w:rsidRPr="00675F56" w:rsidRDefault="00675F56" w:rsidP="00675F56">
      <w:pPr>
        <w:rPr>
          <w:lang w:val="en-US"/>
        </w:rPr>
      </w:pPr>
      <w:r>
        <w:rPr>
          <w:i/>
          <w:iCs/>
          <w:lang w:val="en-US"/>
        </w:rPr>
        <w:t xml:space="preserve">Characteristic limits </w:t>
      </w:r>
    </w:p>
    <w:p w14:paraId="5CFC9EC6" w14:textId="77777777" w:rsidR="00675F56" w:rsidRPr="00675F56" w:rsidRDefault="00675F56" w:rsidP="00675F56">
      <w:pPr>
        <w:rPr>
          <w:lang w:val="en-US"/>
        </w:rPr>
      </w:pPr>
      <w:r>
        <w:rPr>
          <w:lang w:val="en-US"/>
        </w:rPr>
        <w:t xml:space="preserve">Process tracing cannot establish the prevalence of a mechanism across cases, only its presence or absence in the specific case studied. It requires sufficient historical and documentary evidence to reconstruct the causal sequence. </w:t>
      </w:r>
    </w:p>
    <w:p w14:paraId="6264076A" w14:textId="77777777" w:rsidR="00675F56" w:rsidRPr="00675F56" w:rsidRDefault="00675F56" w:rsidP="00675F56">
      <w:pPr>
        <w:rPr>
          <w:lang w:val="en-US"/>
        </w:rPr>
      </w:pPr>
    </w:p>
    <w:p w14:paraId="327D6685" w14:textId="77777777" w:rsidR="00675F56" w:rsidRPr="00675F56" w:rsidRDefault="00675F56" w:rsidP="00675F56">
      <w:pPr>
        <w:pStyle w:val="Heading3"/>
        <w:rPr>
          <w:lang w:val="en-US"/>
        </w:rPr>
      </w:pPr>
      <w:r>
        <w:rPr>
          <w:b/>
          <w:bCs/>
          <w:i/>
          <w:iCs/>
          <w:lang w:val="en-US"/>
        </w:rPr>
        <w:t>11.3.20 Qualitative Comparative Analysis</w:t>
      </w:r>
      <w:r>
        <w:rPr>
          <w:b/>
          <w:bCs/>
          <w:i/>
          <w:iCs/>
          <w:lang w:val="en-US"/>
        </w:rPr>
        <w:t xml:space="preserve"> </w:t>
      </w:r>
    </w:p>
    <w:p w14:paraId="0FD2BD35" w14:textId="1372DA64" w:rsidR="00675F56" w:rsidRPr="00675F56" w:rsidRDefault="00675F56" w:rsidP="00675F56">
      <w:pPr>
        <w:rPr>
          <w:lang w:val="en-US"/>
        </w:rPr>
      </w:pPr>
      <w:r>
        <w:rPr>
          <w:lang w:val="en-US"/>
        </w:rPr>
        <w:t xml:space="preserve">Qualitative Comparative Analysis (QCA) is a set-theoretic method for identifying the combinations of conditions that are sufficient or necessary for an outcome across a set of cases. </w:t>
      </w:r>
      <w:r>
        <w:rPr>
          <w:lang w:val="en-US"/>
        </w:rPr>
        <w:t xml:space="preserve">In practice this </w:t>
      </w:r>
      <w:r>
        <w:rPr>
          <w:lang w:val="en-US"/>
        </w:rPr>
        <w:t xml:space="preserve">does not mean asking whether </w:t>
      </w:r>
      <w:r>
        <w:rPr>
          <w:lang w:val="en-US"/>
        </w:rPr>
        <w:t>factor X cause outcome Y</w:t>
      </w:r>
      <w:r>
        <w:rPr>
          <w:lang w:val="en-US"/>
        </w:rPr>
        <w:t xml:space="preserve"> </w:t>
      </w:r>
      <w:r>
        <w:rPr>
          <w:lang w:val="en-US"/>
        </w:rPr>
        <w:t>but rather</w:t>
      </w:r>
      <w:r>
        <w:rPr>
          <w:lang w:val="en-US"/>
        </w:rPr>
        <w:t xml:space="preserve">: </w:t>
      </w:r>
      <w:r>
        <w:rPr>
          <w:lang w:val="en-US"/>
        </w:rPr>
        <w:t>what combination of conditions does outcome Y occur</w:t>
      </w:r>
      <w:r>
        <w:rPr>
          <w:lang w:val="en-US"/>
        </w:rPr>
        <w:t xml:space="preserve">? This </w:t>
      </w:r>
      <w:r>
        <w:rPr>
          <w:lang w:val="en-US"/>
        </w:rPr>
        <w:t>recognis</w:t>
      </w:r>
      <w:r>
        <w:rPr>
          <w:lang w:val="en-US"/>
        </w:rPr>
        <w:t>es</w:t>
      </w:r>
      <w:r>
        <w:rPr>
          <w:lang w:val="en-US"/>
        </w:rPr>
        <w:t xml:space="preserve"> that the same outcome may be produced by different combinations in different cases.</w:t>
      </w:r>
      <w:r>
        <w:rPr>
          <w:lang w:val="en-US"/>
        </w:rPr>
        <w:t xml:space="preserve"> And so, unlike variable-oriented methods that examine net effects of individual factors, QCA captures configurational causation. This is method is achieved using Boolean algebra or fuzzy-set logic to represent cases as configurations and derive logical statements about </w:t>
        <w:lastRenderedPageBreak/>
        <w:t xml:space="preserve">which configurations are associated with which outcomes.. The method was developed by Ragin (1987) </w:t>
      </w:r>
      <w:r>
        <w:rPr>
          <w:i/>
          <w:iCs/>
          <w:lang w:val="en-US"/>
        </w:rPr>
        <w:t xml:space="preserve">The Comparative Method </w:t>
      </w:r>
      <w:r>
        <w:rPr>
          <w:lang w:val="en-US"/>
        </w:rPr>
        <w:t xml:space="preserve">and extended through fuzzy-set and multi-value variants by Ragin (2000, 2008). For methodological guidance see Schneider and Wagemann (2012) </w:t>
      </w:r>
      <w:r>
        <w:rPr>
          <w:i/>
          <w:iCs/>
          <w:lang w:val="en-US"/>
        </w:rPr>
        <w:t xml:space="preserve">Set- Theoretic Methods for the Social Sciences </w:t>
      </w:r>
      <w:r>
        <w:rPr>
          <w:lang w:val="en-US"/>
        </w:rPr>
        <w:t xml:space="preserve">and Rihoux and Ragin (2009) </w:t>
      </w:r>
      <w:r>
        <w:rPr>
          <w:i/>
          <w:iCs/>
          <w:lang w:val="en-US"/>
        </w:rPr>
        <w:t>Configurational Comparative Methods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what combinations of conditions produced welfare state retrenchment across OECD countries in the 1990s. The research object is each country as a configuration rather than as a case defined by the values of independent variables, acknowledging that the same outcome may have been produced by different combinations in different countries. Using fuzzy-set logic, the researcher codes each country on fiscal pressure, government ideology, union density, and electoral timing, then derives the minimal combinations sufficient for retrenchment, identifying equifinality where it exists.</w:t>
      </w:r>
    </w:p>
    <w:p w14:paraId="22B15945" w14:textId="77777777" w:rsidR="00675F56" w:rsidRPr="00675F56" w:rsidRDefault="00675F56" w:rsidP="00675F56">
      <w:pPr>
        <w:rPr>
          <w:lang w:val="en-US"/>
        </w:rPr>
      </w:pPr>
      <w:r>
        <w:rPr>
          <w:i/>
          <w:iCs/>
          <w:lang w:val="en-US"/>
        </w:rPr>
        <w:t xml:space="preserve">Individuals and groups </w:t>
      </w:r>
    </w:p>
    <w:p w14:paraId="08BA7CB1" w14:textId="77777777" w:rsidR="00675F56" w:rsidRPr="00675F56" w:rsidRDefault="00675F56" w:rsidP="00675F56">
      <w:pPr>
        <w:rPr>
          <w:lang w:val="en-US"/>
        </w:rPr>
      </w:pPr>
      <w:r>
        <w:rPr>
          <w:lang w:val="en-US"/>
        </w:rPr>
        <w:t xml:space="preserve">QCA is typically oriented toward collective-level cases: states, organizations, movements, or communities are the units whose configurations are compared. It can, however, be applied to individual-level cases where the interest is in how individual-level conditions combine to produce individual-level outcomes. </w:t>
      </w:r>
    </w:p>
    <w:p w14:paraId="754E56DB" w14:textId="77777777" w:rsidR="00675F56" w:rsidRPr="00675F56" w:rsidRDefault="00675F56" w:rsidP="00675F56">
      <w:pPr>
        <w:rPr>
          <w:lang w:val="en-US"/>
        </w:rPr>
      </w:pPr>
      <w:r>
        <w:rPr>
          <w:i/>
          <w:iCs/>
          <w:lang w:val="en-US"/>
        </w:rPr>
        <w:t xml:space="preserve">Structure and agency </w:t>
      </w:r>
    </w:p>
    <w:p w14:paraId="5967177A" w14:textId="77777777" w:rsidR="00675F56" w:rsidRPr="00675F56" w:rsidRDefault="00675F56" w:rsidP="00675F56">
      <w:pPr>
        <w:rPr>
          <w:lang w:val="en-US"/>
        </w:rPr>
      </w:pPr>
      <w:r>
        <w:rPr>
          <w:lang w:val="en-US"/>
        </w:rPr>
        <w:t xml:space="preserve">QCA examines how configurations of conditions are associated with outcomes but does not by itself specify whether those conditions operate as structural constraints or as resources for agential action. The configurational logic is compatible with either: a configuration may represent the structural conditions under which a certain outcome is possible, or the combination of resources and orientations through which agents produce an outcome. </w:t>
      </w:r>
    </w:p>
    <w:p w14:paraId="62FC9057" w14:textId="77777777" w:rsidR="00675F56" w:rsidRPr="00675F56" w:rsidRDefault="00675F56" w:rsidP="00675F56">
      <w:pPr>
        <w:rPr>
          <w:lang w:val="en-US"/>
        </w:rPr>
      </w:pPr>
      <w:r>
        <w:rPr>
          <w:i/>
          <w:iCs/>
          <w:lang w:val="en-US"/>
        </w:rPr>
        <w:t xml:space="preserve">Transcendence and immanence </w:t>
      </w:r>
    </w:p>
    <w:p w14:paraId="0E3A3E76" w14:textId="7F32A1B2" w:rsidR="00675F56" w:rsidRPr="00675F56" w:rsidRDefault="00675F56" w:rsidP="00675F56">
      <w:pPr>
        <w:rPr>
          <w:lang w:val="en-US"/>
        </w:rPr>
      </w:pPr>
      <w:r>
        <w:rPr>
          <w:lang w:val="en-US"/>
        </w:rPr>
        <w:t xml:space="preserve">QCA occupies a distinctive middle position. It assumes sufficient comparability across cases to enable systematic set-theoretic comparison, implying some degree of transcendence. While its configurational logic acknowledges that conditions combine differently across cases and that equifinality, multiple configurations leading to the same outcome, is the norm, which is a form of immanence. </w:t>
      </w:r>
    </w:p>
    <w:p w14:paraId="6B7AFB13" w14:textId="77777777" w:rsidR="00675F56" w:rsidRPr="00675F56" w:rsidRDefault="00675F56" w:rsidP="00675F56">
      <w:pPr>
        <w:rPr>
          <w:lang w:val="en-US"/>
        </w:rPr>
      </w:pPr>
      <w:r>
        <w:rPr>
          <w:i/>
          <w:iCs/>
          <w:lang w:val="en-US"/>
        </w:rPr>
        <w:t xml:space="preserve">Characteristic limits </w:t>
      </w:r>
    </w:p>
    <w:p w14:paraId="67FEE94F" w14:textId="77777777" w:rsidR="00675F56" w:rsidRPr="00675F56" w:rsidRDefault="00675F56" w:rsidP="00675F56">
      <w:pPr>
        <w:rPr>
          <w:lang w:val="en-US"/>
        </w:rPr>
      </w:pPr>
      <w:r>
        <w:rPr>
          <w:lang w:val="en-US"/>
        </w:rPr>
        <w:t xml:space="preserve">QCA identifies configurations associated with outcomes but does not by itself identify the mechanisms through which those configurations produce outcomes. Case selection and calibration decisions embed theoretical commitments that shape results. QCA requires at least a moderate number of cases to produce stable solutions. </w:t>
      </w:r>
    </w:p>
    <w:p w14:paraId="39495AA2" w14:textId="77777777" w:rsidR="00675F56" w:rsidRPr="00675F56" w:rsidRDefault="00675F56" w:rsidP="00675F56">
      <w:pPr>
        <w:pStyle w:val="Heading3"/>
        <w:rPr>
          <w:lang w:val="en-US"/>
        </w:rPr>
      </w:pPr>
      <w:r>
        <w:rPr>
          <w:b/>
          <w:bCs/>
          <w:i/>
          <w:iCs/>
          <w:lang w:val="en-US"/>
        </w:rPr>
        <w:t xml:space="preserve">11.3.21 Regression Analysis and Statistical Causal Inference </w:t>
      </w:r>
    </w:p>
    <w:p w14:paraId="4E26D803" w14:textId="3B699375" w:rsidR="00675F56" w:rsidRPr="00675F56" w:rsidRDefault="00675F56" w:rsidP="00675F56">
      <w:pPr>
        <w:rPr>
          <w:lang w:val="en-US"/>
        </w:rPr>
      </w:pPr>
      <w:r>
        <w:rPr>
          <w:lang w:val="en-US"/>
        </w:rPr>
        <w:t xml:space="preserve">Regression analysis models the relationship between a dependent variable against one or more independent variables, estimating how much of the variation in the outcome is associated with variation in the predictors while holding other measured variables constant. In its causal inference applications, regression is supplemented by designs that address confounding: instrumental variables, regression discontinuity, difference-in-differences, and propensity score matching are the major strategies for approximating counterfactual logic in observational data. For methodological guidance </w:t>
        <w:lastRenderedPageBreak/>
        <w:t xml:space="preserve">see Angrist and Pischke (2009) </w:t>
      </w:r>
      <w:r>
        <w:rPr>
          <w:i/>
          <w:iCs/>
          <w:lang w:val="en-US"/>
        </w:rPr>
        <w:t>Mostly Harmless Econometrics</w:t>
      </w:r>
      <w:r>
        <w:rPr>
          <w:lang w:val="en-US"/>
        </w:rPr>
        <w:t xml:space="preserve">, Gelman and Hill (2007) </w:t>
      </w:r>
      <w:r>
        <w:rPr>
          <w:i/>
          <w:iCs/>
          <w:lang w:val="en-US"/>
        </w:rPr>
        <w:t>Data Analysis Using Regression and Multilevel/Hierarchical Models</w:t>
      </w:r>
      <w:r>
        <w:rPr>
          <w:lang w:val="en-US"/>
        </w:rPr>
        <w:t xml:space="preserve">, and Morgan and Winship (2015) </w:t>
      </w:r>
      <w:r>
        <w:rPr>
          <w:i/>
          <w:iCs/>
          <w:lang w:val="en-US"/>
        </w:rPr>
        <w:t>Counterfactuals and Causal Inference</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whether parental education affects children’s educational attainment independently of household income. The research object is the net association between parental education and child outcomes, with household income included as a covariate to test the extent to which the relationship is mediated by material resources. Using national survey data, the researcher compares the coefficient on parental education before and after income is controlled, and applies a regression discontinuity design around school entry cutoffs to address confounding in the estimate of parental education effects on children’s own attainment.</w:t>
      </w:r>
    </w:p>
    <w:p w14:paraId="4339B8CA" w14:textId="77777777" w:rsidR="00675F56" w:rsidDel="00987F77" w:rsidRDefault="00675F56" w:rsidP="00675F56">
      <w:pPr>
        <w:rPr>
          <w:lang w:val="en-US"/>
        </w:rPr>
      </w:pPr>
      <w:r>
        <w:rPr>
          <w:i/>
          <w:iCs/>
          <w:lang w:val="en-US"/>
        </w:rPr>
        <w:t xml:space="preserve">Individuals and groups </w:t>
      </w:r>
    </w:p>
    <w:p w14:paraId="71F5377C" w14:textId="77777777" w:rsidR="00987F77" w:rsidRPr="00675F56" w:rsidRDefault="00987F77" w:rsidP="00675F56">
      <w:pPr>
        <w:rPr>
          <w:lang w:val="en-US"/>
        </w:rPr>
      </w:pPr>
    </w:p>
    <w:p w14:paraId="18730516" w14:textId="4D95C91F" w:rsidR="00675F56" w:rsidRPr="00675F56" w:rsidDel="00987F77" w:rsidRDefault="00675F56" w:rsidP="00675F56">
      <w:pPr>
        <w:rPr>
          <w:lang w:val="en-US"/>
        </w:rPr>
      </w:pPr>
    </w:p>
    <w:p w14:paraId="0F96DF75" w14:textId="77777777" w:rsidR="00675F56" w:rsidRPr="00675F56" w:rsidRDefault="00675F56" w:rsidP="00675F56">
      <w:pPr>
        <w:rPr>
          <w:lang w:val="en-US"/>
        </w:rPr>
      </w:pPr>
      <w:r>
        <w:rPr>
          <w:lang w:val="en-US"/>
        </w:rPr>
        <w:t xml:space="preserve">Regression analysis is constitutively individualist in its standard form, modeling individual- level outcomes as a function of individual-level predictors. Multi-level extensions can include group-level predictors, but the fundamental logic of estimating net variable effects treats individuals as the primary units of analysis. </w:t>
      </w:r>
    </w:p>
    <w:p w14:paraId="2A074367" w14:textId="77777777" w:rsidR="00675F56" w:rsidRPr="00675F56" w:rsidRDefault="00675F56" w:rsidP="00675F56">
      <w:pPr>
        <w:rPr>
          <w:lang w:val="en-US"/>
        </w:rPr>
      </w:pPr>
      <w:r>
        <w:rPr>
          <w:i/>
          <w:iCs/>
          <w:lang w:val="en-US"/>
        </w:rPr>
        <w:t xml:space="preserve">Structure and agency </w:t>
      </w:r>
    </w:p>
    <w:p w14:paraId="73B18D39" w14:textId="77777777" w:rsidR="00675F56" w:rsidRPr="00675F56" w:rsidRDefault="00675F56" w:rsidP="00675F56">
      <w:pPr>
        <w:rPr>
          <w:lang w:val="en-US"/>
        </w:rPr>
      </w:pPr>
      <w:r>
        <w:rPr>
          <w:lang w:val="en-US"/>
        </w:rPr>
        <w:t xml:space="preserve">Regression can operationalize structural conditions as measured variables and estimate their association with outcomes. However, the method cannot distinguish between structural conditions that operate independently of actors' awareness and conditions that operate through actors' interpretive responses, since the estimated coefficient captures the total association regardless of mechanism. </w:t>
      </w:r>
    </w:p>
    <w:p w14:paraId="7D83B67E" w14:textId="77777777" w:rsidR="00675F56" w:rsidRPr="00675F56" w:rsidRDefault="00675F56" w:rsidP="00675F56">
      <w:pPr>
        <w:rPr>
          <w:lang w:val="en-US"/>
        </w:rPr>
      </w:pPr>
      <w:r>
        <w:rPr>
          <w:i/>
          <w:iCs/>
          <w:lang w:val="en-US"/>
        </w:rPr>
        <w:t xml:space="preserve">Transcendence and immanence </w:t>
      </w:r>
    </w:p>
    <w:p w14:paraId="40FD0A77" w14:textId="77777777" w:rsidR="00675F56" w:rsidRPr="00675F56" w:rsidRDefault="00675F56" w:rsidP="00675F56">
      <w:pPr>
        <w:rPr>
          <w:lang w:val="en-US"/>
        </w:rPr>
      </w:pPr>
      <w:r>
        <w:rPr>
          <w:lang w:val="en-US"/>
        </w:rPr>
        <w:t xml:space="preserve">Regression is explicitly transcendentist, seeking relationships that hold across the cases in the sample and that can be generalized to the population from which they were drawn. The assumption that the same model applies across all cases embeds a transcendent commitment that may be violated when mechanisms operate differently in different subpopulations or contexts. </w:t>
      </w:r>
    </w:p>
    <w:p w14:paraId="46875976" w14:textId="77777777" w:rsidR="00675F56" w:rsidRPr="00675F56" w:rsidRDefault="00675F56" w:rsidP="00675F56">
      <w:pPr>
        <w:rPr>
          <w:lang w:val="en-US"/>
        </w:rPr>
      </w:pPr>
      <w:r>
        <w:rPr>
          <w:i/>
          <w:iCs/>
          <w:lang w:val="en-US"/>
        </w:rPr>
        <w:t xml:space="preserve">Characteristic limits </w:t>
      </w:r>
    </w:p>
    <w:p w14:paraId="517FE2BA" w14:textId="77777777" w:rsidR="00675F56" w:rsidRPr="00675F56" w:rsidRDefault="00675F56" w:rsidP="00675F56">
      <w:pPr>
        <w:rPr>
          <w:lang w:val="en-US"/>
        </w:rPr>
      </w:pPr>
      <w:r>
        <w:rPr>
          <w:lang w:val="en-US"/>
        </w:rPr>
        <w:t xml:space="preserve">Regression analysis establishes associations among measured variables and, with appropriate designs, can support causal claims about the effect of a treatment or condition on an outcome. It cannot specify the mechanism through which an association operates, cannot access collective properties irreducible to measured variables, and assumes the causal structure is the same across all observations unless interaction terms are explicitly included. </w:t>
      </w:r>
    </w:p>
    <w:p w14:paraId="3229D1C3" w14:textId="77777777" w:rsidR="00675F56" w:rsidRPr="00675F56" w:rsidRDefault="00675F56" w:rsidP="00675F56">
      <w:pPr>
        <w:pStyle w:val="Heading3"/>
        <w:rPr>
          <w:lang w:val="en-US"/>
        </w:rPr>
      </w:pPr>
      <w:r>
        <w:rPr>
          <w:b/>
          <w:bCs/>
          <w:i/>
          <w:iCs/>
          <w:lang w:val="en-US"/>
        </w:rPr>
        <w:t xml:space="preserve">11.3.22 Semiotic Analysis </w:t>
      </w:r>
    </w:p>
    <w:p w14:paraId="0960F7AA" w14:textId="08045057" w:rsidR="00675F56" w:rsidRPr="00675F56" w:rsidRDefault="00675F56" w:rsidP="00675F56">
      <w:pPr>
        <w:rPr>
          <w:lang w:val="en-US"/>
        </w:rPr>
      </w:pPr>
      <w:r>
        <w:rPr>
          <w:lang w:val="en-US"/>
        </w:rPr>
        <w:t xml:space="preserve">Semiotic analysis investigates the systems of signs, codes, and meaning-making practices through which social realities are constructed, communicated, and contested (eg. </w:t>
      </w:r>
      <w:r>
        <w:rPr>
          <w:lang w:val="en-US"/>
        </w:rPr>
        <w:t>a</w:t>
      </w:r>
      <w:r>
        <w:rPr>
          <w:lang w:val="en-US"/>
        </w:rPr>
        <w:t xml:space="preserve"> national flag</w:t>
      </w:r>
      <w:r>
        <w:rPr>
          <w:lang w:val="en-US"/>
        </w:rPr>
        <w:t>)</w:t>
      </w:r>
      <w:r>
        <w:rPr>
          <w:lang w:val="en-US"/>
        </w:rPr>
        <w:t xml:space="preserve">. Building on Saussure's structural linguistics and Peirce's triadic semiotics, semiotic approaches examine how signs acquire meaning through their relations with other signs within a system rather than through direct correspondence to an external referent. Contemporary semiotic analysis encompasses structural semiotics (Barthes, 1972; Greimas, 1987), social semiotics (Kress and van Leeuwen, 2006), and Peircean process semiotics (Eco, 1979). For methodological guidance see </w:t>
        <w:lastRenderedPageBreak/>
        <w:t xml:space="preserve">Chandler (2007) </w:t>
      </w:r>
      <w:r>
        <w:rPr>
          <w:i/>
          <w:iCs/>
          <w:lang w:val="en-US"/>
        </w:rPr>
        <w:t xml:space="preserve">Semiotics: The Basics </w:t>
      </w:r>
      <w:r>
        <w:rPr>
          <w:lang w:val="en-US"/>
        </w:rPr>
        <w:t xml:space="preserve">and van Leeuwen (2005) </w:t>
      </w:r>
      <w:r>
        <w:rPr>
          <w:i/>
          <w:iCs/>
          <w:lang w:val="en-US"/>
        </w:rPr>
        <w:t>Introducing Social Semiotics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national identity is constructed and contested through electoral campaign communications in a period of political polarisation. The research object is the sign system — the codes, oppositions, and mythologies — through which campaign materials constitute the nation as a meaningful object and position different groups in relation to it. The researcher analyses a corpus of campaign posters and broadcast advertisements, mapping how particular combinations of visual symbols, colour, and linguistic register draw on and reinforce shared cultural frameworks while excluding or marginalising competing national imaginaries.</w:t>
      </w:r>
    </w:p>
    <w:p w14:paraId="6809F5B8" w14:textId="77777777" w:rsidR="00675F56" w:rsidRPr="00675F56" w:rsidRDefault="00675F56" w:rsidP="00675F56">
      <w:pPr>
        <w:rPr>
          <w:lang w:val="en-US"/>
        </w:rPr>
      </w:pPr>
      <w:r>
        <w:rPr>
          <w:i/>
          <w:iCs/>
          <w:lang w:val="en-US"/>
        </w:rPr>
        <w:t xml:space="preserve">Individuals and groups </w:t>
      </w:r>
    </w:p>
    <w:p w14:paraId="61248030" w14:textId="77777777" w:rsidR="00675F56" w:rsidRPr="00675F56" w:rsidRDefault="00675F56" w:rsidP="00675F56">
      <w:pPr>
        <w:rPr>
          <w:lang w:val="en-US"/>
        </w:rPr>
      </w:pPr>
      <w:r>
        <w:rPr>
          <w:lang w:val="en-US"/>
        </w:rPr>
        <w:t xml:space="preserve">Semiotic analysis is constitutively collectivist. Sign systems, codes, and semiotic resources are collective achievements that precede any individual's participation in them. Individual utterances and texts draw on and contribute to shared semiotic systems, but the systems themselves are irreducible to individual sign acts. </w:t>
      </w:r>
    </w:p>
    <w:p w14:paraId="5056A44D" w14:textId="77777777" w:rsidR="00675F56" w:rsidRPr="00675F56" w:rsidRDefault="00675F56" w:rsidP="00675F56">
      <w:pPr>
        <w:rPr>
          <w:lang w:val="en-US"/>
        </w:rPr>
      </w:pPr>
      <w:r>
        <w:rPr>
          <w:i/>
          <w:iCs/>
          <w:lang w:val="en-US"/>
        </w:rPr>
        <w:t xml:space="preserve">Material and ideational </w:t>
      </w:r>
    </w:p>
    <w:p w14:paraId="26EA0946" w14:textId="77777777" w:rsidR="00675F56" w:rsidRPr="00675F56" w:rsidRDefault="00675F56" w:rsidP="00675F56">
      <w:pPr>
        <w:rPr>
          <w:lang w:val="en-US"/>
        </w:rPr>
      </w:pPr>
      <w:r>
        <w:rPr>
          <w:lang w:val="en-US"/>
        </w:rPr>
        <w:t xml:space="preserve">Semiotic analysis is positioned toward the ideational pole, treating meaning systems as constituting rather than merely reflecting social reality. Social semiotics (Kress and van Leeuwen, 2006) introduces a material dimension by attending to the semiotic resources made available by different modes and media, but the analytical interest remains in how material resources are mobilized for meaning-making. </w:t>
      </w:r>
    </w:p>
    <w:p w14:paraId="7B727A19" w14:textId="77777777" w:rsidR="00675F56" w:rsidDel="00A41277" w:rsidRDefault="00675F56" w:rsidP="00675F56">
      <w:pPr>
        <w:rPr>
          <w:lang w:val="en-US"/>
        </w:rPr>
      </w:pPr>
      <w:r>
        <w:rPr>
          <w:i/>
          <w:iCs/>
          <w:lang w:val="en-US"/>
        </w:rPr>
        <w:t xml:space="preserve">Transcendence and immanence </w:t>
      </w:r>
    </w:p>
    <w:p w14:paraId="6C4D734C" w14:textId="77777777" w:rsidR="00A41277" w:rsidRPr="00675F56" w:rsidRDefault="00A41277" w:rsidP="00675F56">
      <w:pPr>
        <w:rPr>
          <w:lang w:val="en-US"/>
        </w:rPr>
      </w:pPr>
    </w:p>
    <w:p w14:paraId="71C30FB5" w14:textId="4425BDA8" w:rsidR="00675F56" w:rsidRPr="00675F56" w:rsidDel="00A41277" w:rsidRDefault="00675F56" w:rsidP="00675F56">
      <w:pPr>
        <w:rPr>
          <w:lang w:val="en-US"/>
        </w:rPr>
      </w:pPr>
    </w:p>
    <w:p w14:paraId="633E920E" w14:textId="77777777" w:rsidR="00675F56" w:rsidRPr="00675F56" w:rsidRDefault="00675F56" w:rsidP="00675F56">
      <w:pPr>
        <w:rPr>
          <w:lang w:val="en-US"/>
        </w:rPr>
      </w:pPr>
      <w:r>
        <w:rPr>
          <w:lang w:val="en-US"/>
        </w:rPr>
        <w:t xml:space="preserve">Semiotic approaches vary. Structural semiotics, following Saussure's synchronic model, tends toward transcendence in seeking the universal codes underlying particular sign practices. Peircean process semiotics, emphasizing the open-ended and context-sensitive process of interpretation, is more immanentist, treating meaning as constituted through particular chains of sign interpretation embedded in specific contexts of use. </w:t>
      </w:r>
    </w:p>
    <w:p w14:paraId="7276144D" w14:textId="77777777" w:rsidR="00675F56" w:rsidRPr="00675F56" w:rsidRDefault="00675F56" w:rsidP="00675F56">
      <w:pPr>
        <w:rPr>
          <w:lang w:val="en-US"/>
        </w:rPr>
      </w:pPr>
      <w:r>
        <w:rPr>
          <w:i/>
          <w:iCs/>
          <w:lang w:val="en-US"/>
        </w:rPr>
        <w:t xml:space="preserve">Characteristic limits </w:t>
      </w:r>
    </w:p>
    <w:p w14:paraId="36F5B96C" w14:textId="77777777" w:rsidR="00675F56" w:rsidRPr="00675F56" w:rsidRDefault="00675F56" w:rsidP="00675F56">
      <w:pPr>
        <w:rPr>
          <w:lang w:val="en-US"/>
        </w:rPr>
      </w:pPr>
      <w:r>
        <w:rPr>
          <w:lang w:val="en-US"/>
        </w:rPr>
        <w:t xml:space="preserve">Semiotic analysis cannot by itself establish whether the meaning systems it identifies cause material outcomes or are themselves shaped by material conditions whose operation is prior. Structural semiotics is better equipped to analyze synchronic systems than diachronic transformation, while process semiotics can address change but at the cost of systematic comparability across contexts. </w:t>
      </w:r>
    </w:p>
    <w:p w14:paraId="0BD729FF" w14:textId="77777777" w:rsidR="00675F56" w:rsidRPr="00675F56" w:rsidRDefault="00675F56" w:rsidP="00675F56">
      <w:pPr>
        <w:pStyle w:val="Heading3"/>
        <w:rPr>
          <w:lang w:val="en-US"/>
        </w:rPr>
      </w:pPr>
      <w:r>
        <w:rPr>
          <w:b/>
          <w:bCs/>
          <w:i/>
          <w:iCs/>
          <w:lang w:val="en-US"/>
        </w:rPr>
        <w:t xml:space="preserve">11.3.23 Spatial Analysis </w:t>
      </w:r>
    </w:p>
    <w:p w14:paraId="5872D33B" w14:textId="77777777" w:rsidR="00675F56" w:rsidRPr="00675F56" w:rsidRDefault="00675F56" w:rsidP="00675F56">
      <w:pPr>
        <w:rPr>
          <w:lang w:val="en-US"/>
        </w:rPr>
      </w:pPr>
      <w:r>
        <w:rPr>
          <w:lang w:val="en-US"/>
        </w:rPr>
        <w:t xml:space="preserve">Spatial analysis investigates how geographic location, spatial arrangement, and proximity shape social phenomena, treating spatial organization as a dimension of social causation rather than as a neutral backdrop. The method encompasses geographic information systems (GIS), spatial statistics, spatial econometrics, and spatial network analysis. Tobler's (1970) first law of geography, that near things are more related than far things, motivates the core methodological concern with spatial autocorrelation and the need for methods that accommodate the non-independence of spatially proximate observations. For methodological guidance see Fotheringham, </w:t>
        <w:lastRenderedPageBreak/>
        <w:t xml:space="preserve">Brunsdon, and Charlton (2000) </w:t>
      </w:r>
      <w:r>
        <w:rPr>
          <w:i/>
          <w:iCs/>
          <w:lang w:val="en-US"/>
        </w:rPr>
        <w:t xml:space="preserve">Quantitative Geography </w:t>
      </w:r>
      <w:r>
        <w:rPr>
          <w:lang w:val="en-US"/>
        </w:rPr>
        <w:t xml:space="preserve">and Anselin (1988) </w:t>
      </w:r>
      <w:r>
        <w:rPr>
          <w:i/>
          <w:iCs/>
          <w:lang w:val="en-US"/>
        </w:rPr>
        <w:t>Spatial Econometrics</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whether residential proximity to green space reduces health inequalities across urban neighbourhoods. The research object is the spatial distribution of health outcomes in relation to the distribution of environmental resources, treated as a structural condition operating independently of individual behaviour. Using GIS to map green space coverage alongside neighbourhood-level health data, the researcher applies spatial econometric methods to test whether health outcomes are systematically better in areas with greater green space access, controlling for socioeconomic composition and accounting for the spatial autocorrelation of both outcomes and exposures.</w:t>
      </w:r>
    </w:p>
    <w:p w14:paraId="481E7618" w14:textId="77777777" w:rsidR="00675F56" w:rsidRPr="00675F56" w:rsidRDefault="00675F56" w:rsidP="00675F56">
      <w:pPr>
        <w:rPr>
          <w:lang w:val="en-US"/>
        </w:rPr>
      </w:pPr>
      <w:r>
        <w:rPr>
          <w:i/>
          <w:iCs/>
          <w:lang w:val="en-US"/>
        </w:rPr>
        <w:t xml:space="preserve">Structure and agency </w:t>
      </w:r>
    </w:p>
    <w:p w14:paraId="53A553A1" w14:textId="77777777" w:rsidR="00675F56" w:rsidRPr="00675F56" w:rsidRDefault="00675F56" w:rsidP="00675F56">
      <w:pPr>
        <w:rPr>
          <w:lang w:val="en-US"/>
        </w:rPr>
      </w:pPr>
      <w:r>
        <w:rPr>
          <w:lang w:val="en-US"/>
        </w:rPr>
        <w:t xml:space="preserve">Spatial analysis treats spatial arrangements as structural conditions shaping what forms of action and interaction are possible. Spatial proximity facilitates certain kinds of interaction and forecloses others; spatial clustering of disadvantage concentrates material deprivation in ways that generate emergent neighborhood effects. The method is better suited to documenting these structural patterns than to tracing the agential responses through which actors navigate or potentially transform spatial constraints. </w:t>
      </w:r>
    </w:p>
    <w:p w14:paraId="08862A53" w14:textId="77777777" w:rsidR="00675F56" w:rsidRPr="00675F56" w:rsidRDefault="00675F56" w:rsidP="00675F56">
      <w:pPr>
        <w:rPr>
          <w:lang w:val="en-US"/>
        </w:rPr>
      </w:pPr>
      <w:r>
        <w:rPr>
          <w:i/>
          <w:iCs/>
          <w:lang w:val="en-US"/>
        </w:rPr>
        <w:t xml:space="preserve">Material and ideational </w:t>
      </w:r>
    </w:p>
    <w:p w14:paraId="1E1255AC" w14:textId="77777777" w:rsidR="00675F56" w:rsidRPr="00675F56" w:rsidRDefault="00675F56" w:rsidP="00675F56">
      <w:pPr>
        <w:rPr>
          <w:lang w:val="en-US"/>
        </w:rPr>
      </w:pPr>
      <w:r>
        <w:rPr>
          <w:lang w:val="en-US"/>
        </w:rPr>
        <w:t xml:space="preserve">Spatial analysis is primarily materialist, treating the physical and economic dimensions of spatial organization as the primary objects of investigation. The spatial distribution of resources, services, infrastructure, and environmental hazards are material conditions that shape social possibilities independently of how they are interpreted. </w:t>
      </w:r>
    </w:p>
    <w:p w14:paraId="406D5EB5" w14:textId="77777777" w:rsidR="00675F56" w:rsidRPr="00675F56" w:rsidRDefault="00675F56" w:rsidP="00675F56">
      <w:pPr>
        <w:rPr>
          <w:lang w:val="en-US"/>
        </w:rPr>
      </w:pPr>
      <w:r>
        <w:rPr>
          <w:i/>
          <w:iCs/>
          <w:lang w:val="en-US"/>
        </w:rPr>
        <w:t xml:space="preserve">Transcendence and immanence </w:t>
      </w:r>
    </w:p>
    <w:p w14:paraId="3ED71A93" w14:textId="77777777" w:rsidR="00675F56" w:rsidRPr="00675F56" w:rsidRDefault="00675F56" w:rsidP="00675F56">
      <w:pPr>
        <w:rPr>
          <w:lang w:val="en-US"/>
        </w:rPr>
      </w:pPr>
      <w:r>
        <w:rPr>
          <w:lang w:val="en-US"/>
        </w:rPr>
        <w:t xml:space="preserve">Spatial analysis can serve either position. Spatial econometrics seeks universal principles of spatial dependence and diffusion operating across different contexts. Historical-geographic analysis treats spatial configurations as outcomes of particular historical processes that cannot be generalized without attention to the conditions that produced them. </w:t>
      </w:r>
    </w:p>
    <w:p w14:paraId="5D23448E" w14:textId="77777777" w:rsidR="00675F56" w:rsidRPr="00675F56" w:rsidRDefault="00675F56" w:rsidP="00675F56">
      <w:pPr>
        <w:rPr>
          <w:lang w:val="en-US"/>
        </w:rPr>
      </w:pPr>
      <w:r>
        <w:rPr>
          <w:i/>
          <w:iCs/>
          <w:lang w:val="en-US"/>
        </w:rPr>
        <w:t xml:space="preserve">Characteristic limits </w:t>
      </w:r>
    </w:p>
    <w:p w14:paraId="2D09DC8B" w14:textId="77777777" w:rsidR="00675F56" w:rsidRPr="00675F56" w:rsidRDefault="00675F56" w:rsidP="00675F56">
      <w:pPr>
        <w:rPr>
          <w:lang w:val="en-US"/>
        </w:rPr>
      </w:pPr>
      <w:r>
        <w:rPr>
          <w:lang w:val="en-US"/>
        </w:rPr>
        <w:t xml:space="preserve">Spatial analysis can document how spatial arrangements are associated with social outcomes but cannot by itself establish the mechanisms through which spatial proximity or distance generates its effects. It also has limited purchase on the ideational dimensions of spatial experience and on the historical processes through which current spatial configurations were produced. </w:t>
      </w:r>
    </w:p>
    <w:p w14:paraId="6E5E9BFB" w14:textId="77777777" w:rsidR="00675F56" w:rsidDel="00926A93" w:rsidRDefault="00675F56" w:rsidP="00675F56">
      <w:pPr>
        <w:pStyle w:val="Heading3"/>
        <w:rPr>
          <w:lang w:val="en-US"/>
        </w:rPr>
      </w:pPr>
      <w:r>
        <w:rPr>
          <w:b/>
          <w:bCs/>
          <w:i/>
          <w:iCs/>
          <w:lang w:val="en-US"/>
        </w:rPr>
        <w:t xml:space="preserve">11.3.24 Survey Research </w:t>
      </w:r>
    </w:p>
    <w:p w14:paraId="128680F1" w14:textId="77777777" w:rsidR="00926A93" w:rsidRPr="00675F56" w:rsidRDefault="00926A93" w:rsidP="00675F56">
      <w:pPr>
        <w:rPr>
          <w:lang w:val="en-US"/>
        </w:rPr>
      </w:pPr>
    </w:p>
    <w:p w14:paraId="3E92E412" w14:textId="2E3B87F7" w:rsidR="00675F56" w:rsidRPr="00675F56" w:rsidDel="00926A93" w:rsidRDefault="00675F56" w:rsidP="00675F56">
      <w:pPr>
        <w:rPr>
          <w:lang w:val="en-US"/>
        </w:rPr>
      </w:pPr>
    </w:p>
    <w:p w14:paraId="244451FE" w14:textId="77777777" w:rsidR="00675F56" w:rsidRPr="00675F56" w:rsidRDefault="00675F56" w:rsidP="00675F56">
      <w:pPr>
        <w:rPr>
          <w:lang w:val="en-US"/>
        </w:rPr>
      </w:pPr>
      <w:r>
        <w:rPr>
          <w:lang w:val="en-US"/>
        </w:rPr>
        <w:t xml:space="preserve">Survey research collects standardized data from large samples of individuals through questionnaires administered in person, by telephone, by mail, or online, enabling statistical analysis of distributions, associations, and trends across populations. The method's defining commitments are standardization, ensuring all respondents answer the same questions in the same form, and probability sampling, enabling statistical inference from sample to population. For methodological guidance see Groves et al. (2009) </w:t>
      </w:r>
      <w:r>
        <w:rPr>
          <w:i/>
          <w:iCs/>
          <w:lang w:val="en-US"/>
        </w:rPr>
        <w:t xml:space="preserve">Survey Methodology </w:t>
      </w:r>
      <w:r>
        <w:rPr>
          <w:lang w:val="en-US"/>
        </w:rPr>
        <w:t xml:space="preserve">and Krosnick and Presser (2010) in </w:t>
      </w:r>
      <w:r>
        <w:rPr>
          <w:i/>
          <w:iCs/>
          <w:lang w:val="en-US"/>
        </w:rPr>
        <w:t>Handbook of Survey Research</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whether institutional trust varies systematically across European societies and what predicts individual differences within countries. The research object is the distribution of individual-level trust in political, legal, and media institutions across national populations, measured through standardised items enabling cross-national comparison. Using European Social Survey data, the researcher examines cross-national variation and models individual predictors — income, education, age, and political orientation — to assess whether their effects on trust are consistent across national contexts or vary in ways that suggest context-dependent mechanisms.</w:t>
      </w:r>
    </w:p>
    <w:p w14:paraId="6C0A53BD" w14:textId="77777777" w:rsidR="00675F56" w:rsidRPr="00675F56" w:rsidRDefault="00675F56" w:rsidP="00675F56">
      <w:pPr>
        <w:rPr>
          <w:lang w:val="en-US"/>
        </w:rPr>
      </w:pPr>
      <w:r>
        <w:rPr>
          <w:i/>
          <w:iCs/>
          <w:lang w:val="en-US"/>
        </w:rPr>
        <w:t xml:space="preserve">Individuals and groups </w:t>
      </w:r>
    </w:p>
    <w:p w14:paraId="633B6B06" w14:textId="77777777" w:rsidR="00675F56" w:rsidRPr="00675F56" w:rsidRDefault="00675F56" w:rsidP="00675F56">
      <w:pPr>
        <w:rPr>
          <w:lang w:val="en-US"/>
        </w:rPr>
      </w:pPr>
      <w:r>
        <w:rPr>
          <w:lang w:val="en-US"/>
        </w:rPr>
        <w:lastRenderedPageBreak/>
        <w:t xml:space="preserve">Survey research is constitutively individualist. Respondents are the units of analysis, data are individual-level, and aggregate patterns are derived by summing or averaging individual responses. Survey research cannot access collective properties that are irreducible to individual characteristics: organizational cultures, community solidarity, and institutional logics exist at a different ontological level from the individual beliefs and behaviors that surveys measure. </w:t>
      </w:r>
    </w:p>
    <w:p w14:paraId="7985BEA3" w14:textId="77777777" w:rsidR="00675F56" w:rsidRPr="00675F56" w:rsidRDefault="00675F56" w:rsidP="00675F56">
      <w:pPr>
        <w:rPr>
          <w:lang w:val="en-US"/>
        </w:rPr>
      </w:pPr>
      <w:r>
        <w:rPr>
          <w:i/>
          <w:iCs/>
          <w:lang w:val="en-US"/>
        </w:rPr>
        <w:t xml:space="preserve">Structure and agency </w:t>
      </w:r>
    </w:p>
    <w:p w14:paraId="1AEF5DEA" w14:textId="77777777" w:rsidR="00675F56" w:rsidRPr="00675F56" w:rsidRDefault="00675F56" w:rsidP="00675F56">
      <w:pPr>
        <w:rPr>
          <w:lang w:val="en-US"/>
        </w:rPr>
      </w:pPr>
      <w:r>
        <w:rPr>
          <w:lang w:val="en-US"/>
        </w:rPr>
        <w:t xml:space="preserve">Surveys measure individual attributes and their associations, which can approximate structural claims when structural positions such as class, race, or gender are operationalized as individual characteristics. However, the method cannot demonstrate that structural conditions operate independently of actors' awareness or generate outcomes that individuals did not intend, since it accesses social life only through individual self-report. </w:t>
      </w:r>
    </w:p>
    <w:p w14:paraId="6BF2A6A8" w14:textId="77777777" w:rsidR="00675F56" w:rsidRPr="00675F56" w:rsidRDefault="00675F56" w:rsidP="00675F56">
      <w:pPr>
        <w:rPr>
          <w:lang w:val="en-US"/>
        </w:rPr>
      </w:pPr>
      <w:r>
        <w:rPr>
          <w:i/>
          <w:iCs/>
          <w:lang w:val="en-US"/>
        </w:rPr>
        <w:t xml:space="preserve">Transcendence and immanence </w:t>
      </w:r>
    </w:p>
    <w:p w14:paraId="56F07444" w14:textId="77777777" w:rsidR="00675F56" w:rsidRPr="00675F56" w:rsidRDefault="00675F56" w:rsidP="00675F56">
      <w:pPr>
        <w:rPr>
          <w:lang w:val="en-US"/>
        </w:rPr>
      </w:pPr>
      <w:r>
        <w:rPr>
          <w:lang w:val="en-US"/>
        </w:rPr>
        <w:t xml:space="preserve">Survey research is transcendentist in aspiration, seeking findings that generalize across the population from which the sample was drawn. Cross-national and cross-cultural survey programs, including the World Values Survey and the European Social Survey, extend this aspiration across cultural contexts, generating comparative evidence about the universality or cultural specificity of attitudes and behaviors. </w:t>
      </w:r>
    </w:p>
    <w:p w14:paraId="61A92AA5" w14:textId="77777777" w:rsidR="00675F56" w:rsidRPr="00675F56" w:rsidRDefault="00675F56" w:rsidP="00675F56">
      <w:pPr>
        <w:rPr>
          <w:lang w:val="en-US"/>
        </w:rPr>
      </w:pPr>
      <w:r>
        <w:rPr>
          <w:i/>
          <w:iCs/>
          <w:lang w:val="en-US"/>
        </w:rPr>
        <w:t xml:space="preserve">Characteristic limits </w:t>
      </w:r>
    </w:p>
    <w:p w14:paraId="31D5E2E5" w14:textId="77777777" w:rsidR="00675F56" w:rsidRPr="00675F56" w:rsidRDefault="00675F56" w:rsidP="00675F56">
      <w:pPr>
        <w:rPr>
          <w:lang w:val="en-US"/>
        </w:rPr>
      </w:pPr>
      <w:r>
        <w:rPr>
          <w:lang w:val="en-US"/>
        </w:rPr>
        <w:t xml:space="preserve">Survey research cannot access collective properties, mechanisms operating below individual awareness, or the contextual specificity of how meanings and practices are constituted in particular settings. The standardization enabling comparison across large samples forecloses the contextual depth needed to understand how measured attitudes and behaviors are embedded in and shaped by their social context. </w:t>
      </w:r>
    </w:p>
    <w:p w14:paraId="756E34B1" w14:textId="77777777" w:rsidR="00675F56" w:rsidRPr="00675F56" w:rsidRDefault="00675F56" w:rsidP="00675F56">
      <w:pPr>
        <w:pStyle w:val="Heading3"/>
        <w:rPr>
          <w:lang w:val="en-US"/>
        </w:rPr>
      </w:pPr>
      <w:r>
        <w:rPr>
          <w:b/>
          <w:bCs/>
          <w:i/>
          <w:iCs/>
          <w:lang w:val="en-US"/>
        </w:rPr>
        <w:t xml:space="preserve">11.3.25 Visual and Material Culture Methods </w:t>
      </w:r>
    </w:p>
    <w:p w14:paraId="1FE871C6" w14:textId="77777777" w:rsidR="00675F56" w:rsidRPr="00675F56" w:rsidRDefault="00675F56" w:rsidP="00675F56">
      <w:pPr>
        <w:rPr>
          <w:lang w:val="en-US"/>
        </w:rPr>
      </w:pPr>
      <w:r>
        <w:rPr>
          <w:lang w:val="en-US"/>
        </w:rPr>
        <w:t xml:space="preserve">Visual and material culture methods investigate how objects, images, built environments, and other material artifacts embody and communicate social meanings, power relations, and cultural values. The field draws on art history, anthropology, cultural studies, and science and technology studies, encompassing content analysis of visual materials, ethnographic approaches to object use and circulation, and genealogical analysis of how artifacts acquire and transform their social significance. For methodological guidance see Rose (2016) </w:t>
      </w:r>
      <w:r>
        <w:rPr>
          <w:i/>
          <w:iCs/>
          <w:lang w:val="en-US"/>
        </w:rPr>
        <w:t xml:space="preserve">Visual Methodologies </w:t>
      </w:r>
      <w:r>
        <w:rPr>
          <w:lang w:val="en-US"/>
        </w:rPr>
        <w:t xml:space="preserve">and Woodward (2007) </w:t>
      </w:r>
      <w:r>
        <w:rPr>
          <w:i/>
          <w:iCs/>
          <w:lang w:val="en-US"/>
        </w:rPr>
        <w:t>Understanding Material Culture</w:t>
      </w:r>
      <w:r>
        <w:rPr>
          <w:lang w:val="en-US"/>
        </w:rPr>
        <w:t xml:space="preserve">. Key contributions include Appadurai (1986) </w:t>
      </w:r>
      <w:r>
        <w:rPr>
          <w:i/>
          <w:iCs/>
          <w:lang w:val="en-US"/>
        </w:rPr>
        <w:t xml:space="preserve">The Social Life of Things </w:t>
      </w:r>
      <w:r>
        <w:rPr>
          <w:lang w:val="en-US"/>
        </w:rPr>
        <w:t xml:space="preserve">and Miller (1987) </w:t>
      </w:r>
      <w:r>
        <w:rPr>
          <w:i/>
          <w:iCs/>
          <w:lang w:val="en-US"/>
        </w:rPr>
        <w:t>Material Culture and Mass Consumption</w:t>
      </w:r>
      <w:r>
        <w:rPr>
          <w:lang w:val="en-US"/>
        </w:rPr>
        <w:t xml:space="preserve">. </w:t>
      </w:r>
    </w:p>
    <w:p w14:paraId="00000001" w14:textId="77777777" w:rsidR="00AB9C4F" w:rsidRDefault="00AB9C4F">
      <w:pPr>
        <w:rPr>
          <w:b/>
          <w:bCs/>
          <w:i/>
          <w:iCs/>
          <w:lang w:val="en-US"/>
        </w:rPr>
      </w:pPr>
      <w:r>
        <w:rPr>
          <w:b/>
          <w:bCs/>
          <w:i/>
          <w:iCs/>
          <w:lang w:val="en-US"/>
        </w:rPr>
        <w:t xml:space="preserve">Application of the method (example)</w:t>
      </w:r>
    </w:p>
    <w:p w14:paraId="00000002" w14:textId="77777777" w:rsidR="00AB9C4F" w:rsidRDefault="00AB9C4F">
      <w:pPr>
        <w:rPr>
          <w:lang w:val="en-US"/>
        </w:rPr>
      </w:pPr>
      <w:r>
        <w:rPr>
          <w:lang w:val="en-US"/>
        </w:rPr>
        <w:t xml:space="preserve">The topic is how colonial histories are narrated and contested through exhibitions of African art in European national museums. The research object is the exhibition as a material and semiotic configuration — the objects displayed, their labels, spatial arrangements, and institutional framing — through which particular versions of the colonial past are rendered visible or obscured. The researcher analyses exhibition texts, conducts ethnographic observation of gallery spaces, and interviews curators and visitors, tracing how the same objects carry different meanings across different interpretive communities.</w:t>
      </w:r>
    </w:p>
    <w:p w14:paraId="33617BFE" w14:textId="77777777" w:rsidR="00675F56" w:rsidRPr="00675F56" w:rsidRDefault="00675F56" w:rsidP="00675F56">
      <w:pPr>
        <w:rPr>
          <w:lang w:val="en-US"/>
        </w:rPr>
      </w:pPr>
      <w:r>
        <w:rPr>
          <w:i/>
          <w:iCs/>
          <w:lang w:val="en-US"/>
        </w:rPr>
        <w:t xml:space="preserve">Individuals and groups </w:t>
      </w:r>
    </w:p>
    <w:p w14:paraId="3DDE888E" w14:textId="77777777" w:rsidR="00675F56" w:rsidRPr="00675F56" w:rsidDel="00926A93" w:rsidRDefault="00675F56" w:rsidP="00675F56">
      <w:pPr>
        <w:rPr>
          <w:lang w:val="en-US"/>
        </w:rPr>
      </w:pPr>
      <w:r>
        <w:rPr>
          <w:lang w:val="en-US"/>
        </w:rPr>
        <w:lastRenderedPageBreak/>
        <w:t xml:space="preserve">Visual and material culture methods are oriented toward collective-level meaning systems. Objects and images acquire their social significance through collective practices of classification, valuation, and use that are irreducible to individual interpretation. The same </w:t>
      </w:r>
    </w:p>
    <w:p w14:paraId="1D297BCA" w14:textId="77777777" w:rsidR="00675F56" w:rsidRPr="00675F56" w:rsidDel="00926A93" w:rsidRDefault="00675F56" w:rsidP="00675F56">
      <w:pPr>
        <w:rPr>
          <w:lang w:val="en-US"/>
        </w:rPr>
      </w:pPr>
    </w:p>
    <w:p w14:paraId="5B7EC3CE" w14:textId="77777777" w:rsidR="00675F56" w:rsidRPr="00675F56" w:rsidRDefault="00675F56" w:rsidP="00675F56">
      <w:pPr>
        <w:rPr>
          <w:lang w:val="en-US"/>
        </w:rPr>
      </w:pPr>
      <w:r>
        <w:rPr>
          <w:lang w:val="en-US"/>
        </w:rPr>
        <w:t xml:space="preserve">object may carry different meanings for different collectivities, reflecting collective-level differences in the cultural frameworks through which it is interpreted. </w:t>
      </w:r>
    </w:p>
    <w:p w14:paraId="292AA45B" w14:textId="77777777" w:rsidR="00675F56" w:rsidRPr="00675F56" w:rsidRDefault="00675F56" w:rsidP="00675F56">
      <w:pPr>
        <w:rPr>
          <w:lang w:val="en-US"/>
        </w:rPr>
      </w:pPr>
      <w:r>
        <w:rPr>
          <w:i/>
          <w:iCs/>
          <w:lang w:val="en-US"/>
        </w:rPr>
        <w:t xml:space="preserve">Material and ideational </w:t>
      </w:r>
    </w:p>
    <w:p w14:paraId="63F00DD3" w14:textId="77777777" w:rsidR="00675F56" w:rsidRPr="00675F56" w:rsidRDefault="00675F56" w:rsidP="00675F56">
      <w:pPr>
        <w:rPr>
          <w:lang w:val="en-US"/>
        </w:rPr>
      </w:pPr>
      <w:r>
        <w:rPr>
          <w:lang w:val="en-US"/>
        </w:rPr>
        <w:t xml:space="preserve">Visual and material culture methods occupy a distinctive position at the intersection of the two poles. Their objects of investigation are materially constituted, but their analytical interest is in how those material forms carry and communicate meaning. Appadurai's (1986) account of the social life of things examines how objects move between different regimes of value, simultaneously tracking material trajectories and ideational transformations. The field has been a site for developing accounts of how material and ideational factors are co- constitutive. </w:t>
      </w:r>
    </w:p>
    <w:p w14:paraId="0B4F3E88" w14:textId="77777777" w:rsidR="00675F56" w:rsidRPr="00675F56" w:rsidRDefault="00675F56" w:rsidP="00675F56">
      <w:pPr>
        <w:rPr>
          <w:lang w:val="en-US"/>
        </w:rPr>
      </w:pPr>
      <w:r>
        <w:rPr>
          <w:i/>
          <w:iCs/>
          <w:lang w:val="en-US"/>
        </w:rPr>
        <w:t xml:space="preserve">Transcendence and immanence </w:t>
      </w:r>
    </w:p>
    <w:p w14:paraId="7A1EA9F0" w14:textId="77777777" w:rsidR="00675F56" w:rsidRPr="00675F56" w:rsidRDefault="00675F56" w:rsidP="00675F56">
      <w:pPr>
        <w:rPr>
          <w:lang w:val="en-US"/>
        </w:rPr>
      </w:pPr>
      <w:r>
        <w:rPr>
          <w:lang w:val="en-US"/>
        </w:rPr>
        <w:t xml:space="preserve">Visual and material culture methods are primarily immanentist, attending to how specific artifacts are embedded in and constituted by specific cultural contexts. Cross-cultural comparison is possible, examining how similar objects carry different meanings in different cultural settings, but the analytical interest typically lies in the specificity of these variations. </w:t>
      </w:r>
    </w:p>
    <w:p w14:paraId="056A67C8" w14:textId="77777777" w:rsidR="00675F56" w:rsidRPr="00675F56" w:rsidRDefault="00675F56" w:rsidP="00675F56">
      <w:pPr>
        <w:rPr>
          <w:lang w:val="en-US"/>
        </w:rPr>
      </w:pPr>
      <w:r>
        <w:rPr>
          <w:i/>
          <w:iCs/>
          <w:lang w:val="en-US"/>
        </w:rPr>
        <w:t xml:space="preserve">Characteristic limits </w:t>
      </w:r>
    </w:p>
    <w:p w14:paraId="5E1C266A" w14:textId="77777777" w:rsidR="00675F56" w:rsidRDefault="00675F56" w:rsidP="00675F56">
      <w:pPr>
        <w:rPr>
          <w:lang w:val="en-US"/>
        </w:rPr>
      </w:pPr>
      <w:r>
        <w:rPr>
          <w:lang w:val="en-US"/>
        </w:rPr>
        <w:t xml:space="preserve">Visual and material culture methods cannot by themselves establish how material artifacts shape social outcomes causally, as opposed to documenting the meanings associated with them. They face the challenge of specifying how images and objects exercise causal force rather than merely reflecting the social relations within which they are embedded. </w:t>
      </w:r>
    </w:p>
    <w:p w14:paraId="2C65AD0A" w14:textId="77777777" w:rsidR="00CD33B9" w:rsidRPr="00675F56" w:rsidRDefault="00CD33B9" w:rsidP="00675F56">
      <w:pPr>
        <w:rPr>
          <w:lang w:val="en-US"/>
        </w:rPr>
      </w:pPr>
    </w:p>
    <w:sectPr w:rsidR="00CD33B9" w:rsidRPr="00675F5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ta Zur" w:date="2026-06-09T19:16:00Z" w:initials="MZ">
    <w:p w14:paraId="189A3E66" w14:textId="77777777" w:rsidR="0010499C" w:rsidRDefault="0010499C" w:rsidP="0010499C">
      <w:r>
        <w:rPr>
          <w:rStyle w:val="Odwoaniedokomentarza"/>
        </w:rPr>
        <w:annotationRef/>
      </w:r>
      <w:r>
        <w:rPr>
          <w:color w:val="000000"/>
          <w:sz w:val="20"/>
          <w:szCs w:val="20"/>
        </w:rPr>
        <w:t xml:space="preserve">which operate structurally </w:t>
      </w:r>
    </w:p>
    <w:p w14:paraId="2B2DD47D" w14:textId="77777777" w:rsidR="0010499C" w:rsidRDefault="0010499C" w:rsidP="0010499C"/>
  </w:comment>
  <w:comment w:id="4" w:author="Marta Zur" w:date="2026-06-09T19:17:00Z" w:initials="MZ">
    <w:p w14:paraId="45559EA7" w14:textId="77777777" w:rsidR="0010499C" w:rsidRDefault="0010499C" w:rsidP="0010499C">
      <w:r>
        <w:rPr>
          <w:rStyle w:val="Odwoaniedokomentarza"/>
        </w:rPr>
        <w:annotationRef/>
      </w:r>
      <w:r>
        <w:rPr>
          <w:color w:val="000000"/>
          <w:sz w:val="20"/>
          <w:szCs w:val="20"/>
        </w:rPr>
        <w:t xml:space="preserve">delete </w:t>
      </w:r>
    </w:p>
  </w:comment>
  <w:comment w:id="5" w:author="Marta Zur" w:date="2026-06-09T19:18:00Z" w:initials="MZ">
    <w:p w14:paraId="3FFF7330" w14:textId="77777777" w:rsidR="0010499C" w:rsidRDefault="0010499C" w:rsidP="0010499C">
      <w:r>
        <w:rPr>
          <w:rStyle w:val="Odwoaniedokomentarza"/>
        </w:rPr>
        <w:annotationRef/>
      </w:r>
      <w:r>
        <w:rPr>
          <w:color w:val="000000"/>
          <w:sz w:val="20"/>
          <w:szCs w:val="20"/>
        </w:rPr>
        <w:t>experiment manipulation - as in a natural experiment?</w:t>
      </w:r>
    </w:p>
  </w:comment>
  <w:comment w:id="6" w:author="Marta Zur" w:date="2026-06-09T19:19:00Z" w:initials="MZ">
    <w:p w14:paraId="15BF477F" w14:textId="77777777" w:rsidR="0010499C" w:rsidRDefault="0010499C" w:rsidP="0010499C">
      <w:r>
        <w:rPr>
          <w:rStyle w:val="Odwoaniedokomentarza"/>
        </w:rPr>
        <w:annotationRef/>
      </w:r>
      <w:r>
        <w:rPr>
          <w:color w:val="000000"/>
          <w:sz w:val="20"/>
          <w:szCs w:val="20"/>
        </w:rPr>
        <w:t>they are arguing from</w:t>
      </w:r>
    </w:p>
  </w:comment>
  <w:comment w:id="7" w:author="Marta Zur" w:date="2026-06-09T19:19:00Z" w:initials="MZ">
    <w:p w14:paraId="1BF82D39" w14:textId="77777777" w:rsidR="0010499C" w:rsidRDefault="0010499C" w:rsidP="0010499C">
      <w:r>
        <w:rPr>
          <w:rStyle w:val="Odwoaniedokomentarza"/>
        </w:rPr>
        <w:annotationRef/>
      </w:r>
      <w:r>
        <w:rPr>
          <w:color w:val="000000"/>
          <w:sz w:val="20"/>
          <w:szCs w:val="20"/>
        </w:rPr>
        <w:t>new paragraph for structural clarity</w:t>
      </w:r>
    </w:p>
  </w:comment>
  <w:comment w:id="8" w:author="Marta Zur" w:date="2026-06-09T19:21:00Z" w:initials="MZ">
    <w:p w14:paraId="7EBE37DE" w14:textId="77777777" w:rsidR="0010499C" w:rsidRDefault="0010499C" w:rsidP="0010499C">
      <w:r>
        <w:rPr>
          <w:rStyle w:val="Odwoaniedokomentarza"/>
        </w:rPr>
        <w:annotationRef/>
      </w:r>
      <w:r>
        <w:rPr>
          <w:color w:val="000000"/>
          <w:sz w:val="20"/>
          <w:szCs w:val="20"/>
        </w:rPr>
        <w:t xml:space="preserve">and provides resaerchers with a common methodological lanuage to better understand each others resaerch domains </w:t>
      </w:r>
    </w:p>
  </w:comment>
  <w:comment w:id="9" w:author="Marta Zur" w:date="2026-06-09T19:21:00Z" w:initials="MZ">
    <w:p w14:paraId="271E52E1" w14:textId="77777777" w:rsidR="0010499C" w:rsidRDefault="0010499C" w:rsidP="0010499C">
      <w:r>
        <w:rPr>
          <w:rStyle w:val="Odwoaniedokomentarza"/>
        </w:rPr>
        <w:annotationRef/>
      </w:r>
      <w:r>
        <w:rPr>
          <w:color w:val="000000"/>
          <w:sz w:val="20"/>
          <w:szCs w:val="20"/>
        </w:rPr>
        <w:t xml:space="preserve">too long sentence </w:t>
      </w:r>
    </w:p>
  </w:comment>
  <w:comment w:id="10" w:author="Marta Zur" w:date="2026-06-09T19:24:00Z" w:initials="MZ">
    <w:p w14:paraId="092B3AAD" w14:textId="77777777" w:rsidR="00A025FE" w:rsidRDefault="00A025FE" w:rsidP="00A025FE">
      <w:r>
        <w:rPr>
          <w:rStyle w:val="Odwoaniedokomentarza"/>
        </w:rPr>
        <w:annotationRef/>
      </w:r>
      <w:r>
        <w:rPr>
          <w:color w:val="000000"/>
          <w:sz w:val="20"/>
          <w:szCs w:val="20"/>
        </w:rPr>
        <w:t xml:space="preserve">is this list meant to outline a methods toolkit for ontologically alligned research? if so maybe explicilty name it that way (eg. ontologically alligned methods manual) </w:t>
      </w:r>
    </w:p>
  </w:comment>
  <w:comment w:id="12" w:author="Marta Zur" w:date="2026-06-09T19:26:00Z" w:initials="MZ">
    <w:p w14:paraId="0DA21653" w14:textId="77777777" w:rsidR="00A025FE" w:rsidRDefault="00A025FE" w:rsidP="00A025FE">
      <w:r>
        <w:rPr>
          <w:rStyle w:val="Odwoaniedokomentarza"/>
        </w:rPr>
        <w:annotationRef/>
      </w:r>
      <w:r>
        <w:rPr>
          <w:color w:val="000000"/>
          <w:sz w:val="20"/>
          <w:szCs w:val="20"/>
        </w:rPr>
        <w:t xml:space="preserve">oh i see it only comes here, i would definatley paste this clarification into the earlier paragraph (i wil do it) </w:t>
      </w:r>
    </w:p>
  </w:comment>
  <w:comment w:id="14" w:author="Marta Zur" w:date="2026-06-09T19:23:00Z" w:initials="MZ">
    <w:p w14:paraId="4B4AD84C" w14:textId="45DD2749" w:rsidR="00A025FE" w:rsidRDefault="00A025FE" w:rsidP="00A025FE">
      <w:r>
        <w:rPr>
          <w:rStyle w:val="Odwoaniedokomentarza"/>
        </w:rPr>
        <w:annotationRef/>
      </w:r>
      <w:r>
        <w:rPr>
          <w:color w:val="000000"/>
          <w:sz w:val="20"/>
          <w:szCs w:val="20"/>
        </w:rPr>
        <w:t xml:space="preserve">maybe say how can this list me engaged with —&gt; also what about mixed methods approach? </w:t>
      </w:r>
    </w:p>
  </w:comment>
  <w:comment w:id="15" w:author="Marta Zur" w:date="2026-06-09T19:26:00Z" w:initials="MZ">
    <w:p w14:paraId="3272D3CB" w14:textId="77777777" w:rsidR="00A025FE" w:rsidRDefault="00A025FE" w:rsidP="00A025FE">
      <w:r>
        <w:rPr>
          <w:rStyle w:val="Odwoaniedokomentarza"/>
        </w:rPr>
        <w:annotationRef/>
      </w:r>
      <w:r>
        <w:rPr>
          <w:color w:val="000000"/>
          <w:sz w:val="20"/>
          <w:szCs w:val="20"/>
        </w:rPr>
        <w:t xml:space="preserve">oh i see it only comes here, i would definatley paste this clarification into the earlier paragraph (i wil do it) </w:t>
      </w:r>
    </w:p>
  </w:comment>
  <w:comment w:id="17" w:author="Marta Zur" w:date="2026-06-09T19:30:00Z" w:initials="MZ">
    <w:p w14:paraId="5AAE51E5" w14:textId="77777777" w:rsidR="00A025FE" w:rsidRDefault="00A025FE" w:rsidP="00A025FE">
      <w:r>
        <w:rPr>
          <w:rStyle w:val="Odwoaniedokomentarza"/>
        </w:rPr>
        <w:annotationRef/>
      </w:r>
      <w:r>
        <w:rPr>
          <w:color w:val="000000"/>
          <w:sz w:val="20"/>
          <w:szCs w:val="20"/>
        </w:rPr>
        <w:t xml:space="preserve">could not paste it into word </w:t>
      </w:r>
    </w:p>
  </w:comment>
  <w:comment w:id="18" w:author="Marta Zur" w:date="2026-06-09T20:19:00Z" w:initials="MZ">
    <w:p w14:paraId="480EFC0E" w14:textId="77777777" w:rsidR="00640746" w:rsidRDefault="00640746" w:rsidP="00640746">
      <w:r>
        <w:rPr>
          <w:rStyle w:val="Odwoaniedokomentarza"/>
        </w:rPr>
        <w:annotationRef/>
      </w:r>
      <w:r>
        <w:rPr>
          <w:color w:val="000000"/>
          <w:sz w:val="20"/>
          <w:szCs w:val="20"/>
        </w:rPr>
        <w:t>this is a bit confusing, do you mean this method makes a simulations in which participants are meant to follow rules they are given and are tested across different contexts? maybe a concrete example of this method would help clarify</w:t>
      </w:r>
    </w:p>
  </w:comment>
  <w:comment w:id="36" w:author="Marta Zur" w:date="2026-06-09T20:21:00Z" w:initials="MZ">
    <w:p w14:paraId="5715E7DF" w14:textId="77777777" w:rsidR="00640746" w:rsidRDefault="00640746" w:rsidP="00640746">
      <w:r>
        <w:rPr>
          <w:rStyle w:val="Odwoaniedokomentarza"/>
        </w:rPr>
        <w:annotationRef/>
      </w:r>
      <w:r>
        <w:rPr>
          <w:color w:val="000000"/>
          <w:sz w:val="20"/>
          <w:szCs w:val="20"/>
        </w:rPr>
        <w:t>maybe it could be useful to add : after every debate and state where in short the method it positioned , eg. individuals vs group: integrative position</w:t>
      </w:r>
    </w:p>
  </w:comment>
  <w:comment w:id="37" w:author="Marta Zur" w:date="2026-06-09T20:24:00Z" w:initials="MZ">
    <w:p w14:paraId="77433301" w14:textId="77777777" w:rsidR="00640746" w:rsidRDefault="00640746" w:rsidP="00640746">
      <w:r>
        <w:rPr>
          <w:rStyle w:val="Odwoaniedokomentarza"/>
        </w:rPr>
        <w:annotationRef/>
      </w:r>
      <w:r>
        <w:rPr>
          <w:sz w:val="20"/>
          <w:szCs w:val="20"/>
        </w:rPr>
        <w:t xml:space="preserve">why is there no material/ideational? </w:t>
      </w:r>
    </w:p>
  </w:comment>
  <w:comment w:id="38" w:author="Marta Zur" w:date="2026-06-09T20:26:00Z" w:initials="MZ">
    <w:p w14:paraId="147423B9" w14:textId="77777777" w:rsidR="00640746" w:rsidRDefault="00640746" w:rsidP="00640746">
      <w:r>
        <w:rPr>
          <w:rStyle w:val="Odwoaniedokomentarza"/>
        </w:rPr>
        <w:annotationRef/>
      </w:r>
      <w:r>
        <w:rPr>
          <w:color w:val="000000"/>
          <w:sz w:val="20"/>
          <w:szCs w:val="20"/>
        </w:rPr>
        <w:t xml:space="preserve">this does not really make sense to be since the method was not very clearly defined at the beginning; i am assuming this refers to the researcher being able to manipulate the environment? </w:t>
      </w:r>
    </w:p>
  </w:comment>
  <w:comment w:id="39" w:author="Marta Zur" w:date="2026-06-09T20:28:00Z" w:initials="MZ">
    <w:p w14:paraId="4CD8C013" w14:textId="77777777" w:rsidR="00640746" w:rsidRDefault="00640746" w:rsidP="00640746">
      <w:r>
        <w:rPr>
          <w:rStyle w:val="Odwoaniedokomentarza"/>
        </w:rPr>
        <w:annotationRef/>
      </w:r>
      <w:r>
        <w:rPr>
          <w:color w:val="000000"/>
          <w:sz w:val="20"/>
          <w:szCs w:val="20"/>
        </w:rPr>
        <w:t xml:space="preserve">i think on their own going over the debates and then the limit is alright how it is but the initial explanation has to be made more concrete, it is too vague and makes everything that follows confusing </w:t>
      </w:r>
    </w:p>
    <w:p w14:paraId="2B87085D" w14:textId="77777777" w:rsidR="00640746" w:rsidRDefault="00640746" w:rsidP="00640746"/>
  </w:comment>
  <w:comment w:id="40" w:author="Marta Zur" w:date="2026-06-09T20:32:00Z" w:initials="MZ">
    <w:p w14:paraId="15C09800" w14:textId="77777777" w:rsidR="0003647F" w:rsidRDefault="0003647F" w:rsidP="0003647F">
      <w:r>
        <w:rPr>
          <w:rStyle w:val="Odwoaniedokomentarza"/>
        </w:rPr>
        <w:annotationRef/>
      </w:r>
      <w:r>
        <w:rPr>
          <w:color w:val="000000"/>
          <w:sz w:val="20"/>
          <w:szCs w:val="20"/>
        </w:rPr>
        <w:t>a researcher investigating residential segregation in a city like Rotterdam constructs an ABM by first defining a grid representing the city's neighbourhoods. Individual residents are programmed as agents, each assigned a simple rule — for instance, that they will relocate if fewer than a third of their immediate neighbours share a similar characteristic, such as ethnicity or income level. The simulation is then run iteratively: at each step, dissatisfied individuals move to available spaces, and the researcher observes what spatial patterns emerge across the grid over time. —&gt; not sure if i understood the method correctly (and with the help of AI) would this example work?</w:t>
      </w:r>
    </w:p>
  </w:comment>
  <w:comment w:id="48" w:author="Marta Zur" w:date="2026-06-09T20:38:00Z" w:initials="MZ">
    <w:p w14:paraId="5436532A" w14:textId="77777777" w:rsidR="0003647F" w:rsidRDefault="0003647F" w:rsidP="0003647F">
      <w:r>
        <w:rPr>
          <w:rStyle w:val="Odwoaniedokomentarza"/>
        </w:rPr>
        <w:annotationRef/>
      </w:r>
      <w:r>
        <w:rPr>
          <w:color w:val="000000"/>
          <w:sz w:val="20"/>
          <w:szCs w:val="20"/>
        </w:rPr>
        <w:t>personally i would find it structurally and conceptually helpful if each method explicitly said what is the resaerch object at hand, i think this could be useful to follow through with all methods. I also re-worded this, i think the language used right now its too exhausting to read at times</w:t>
      </w:r>
    </w:p>
  </w:comment>
  <w:comment w:id="56" w:author="Marta Zur" w:date="2026-06-09T20:46:00Z" w:initials="MZ">
    <w:p w14:paraId="45BA534F" w14:textId="77777777" w:rsidR="00AC7737" w:rsidRDefault="00AC7737" w:rsidP="00AC7737">
      <w:r>
        <w:rPr>
          <w:rStyle w:val="Odwoaniedokomentarza"/>
        </w:rPr>
        <w:annotationRef/>
      </w:r>
      <w:r>
        <w:rPr>
          <w:color w:val="000000"/>
          <w:sz w:val="20"/>
          <w:szCs w:val="20"/>
        </w:rPr>
        <w:t xml:space="preserve">Again i think an example would be useful; it could even be its own sub-heading (eg </w:t>
      </w:r>
      <w:r>
        <w:rPr>
          <w:i/>
          <w:iCs/>
          <w:color w:val="000000"/>
          <w:sz w:val="20"/>
          <w:szCs w:val="20"/>
        </w:rPr>
        <w:t xml:space="preserve">Method in Practice… or Application of Method…)  </w:t>
      </w:r>
      <w:r>
        <w:rPr>
          <w:color w:val="000000"/>
          <w:sz w:val="20"/>
          <w:szCs w:val="20"/>
        </w:rPr>
        <w:t>I would suggest that this comes in right after the explnation of the method som</w:t>
      </w:r>
    </w:p>
  </w:comment>
  <w:comment w:id="61" w:author="Marta Zur" w:date="2026-06-09T20:47:00Z" w:initials="MZ">
    <w:p w14:paraId="2C3EF297" w14:textId="77777777" w:rsidR="00AC7737" w:rsidRDefault="00AC7737" w:rsidP="00AC7737">
      <w:r>
        <w:rPr>
          <w:rStyle w:val="Odwoaniedokomentarza"/>
        </w:rPr>
        <w:annotationRef/>
      </w:r>
      <w:r>
        <w:rPr>
          <w:color w:val="000000"/>
          <w:sz w:val="20"/>
          <w:szCs w:val="20"/>
        </w:rPr>
        <w:t xml:space="preserve">so something like this would be really helpful i think </w:t>
      </w:r>
    </w:p>
    <w:p w14:paraId="05ED5AE2" w14:textId="77777777" w:rsidR="00AC7737" w:rsidRDefault="00AC7737" w:rsidP="00AC7737">
      <w:r>
        <w:rPr>
          <w:color w:val="000000"/>
          <w:sz w:val="20"/>
          <w:szCs w:val="20"/>
        </w:rPr>
        <w:t>1. resaerch topic</w:t>
      </w:r>
    </w:p>
    <w:p w14:paraId="7DC44346" w14:textId="77777777" w:rsidR="00AC7737" w:rsidRDefault="00AC7737" w:rsidP="00AC7737">
      <w:r>
        <w:rPr>
          <w:color w:val="000000"/>
          <w:sz w:val="20"/>
          <w:szCs w:val="20"/>
        </w:rPr>
        <w:t xml:space="preserve">2. research object </w:t>
      </w:r>
    </w:p>
    <w:p w14:paraId="502F8E7B" w14:textId="77777777" w:rsidR="00AC7737" w:rsidRDefault="00AC7737" w:rsidP="00AC7737">
      <w:r>
        <w:rPr>
          <w:color w:val="000000"/>
          <w:sz w:val="20"/>
          <w:szCs w:val="20"/>
        </w:rPr>
        <w:t>3. what the method does/ look for</w:t>
      </w:r>
    </w:p>
  </w:comment>
  <w:comment w:id="74" w:author="Marta Zur" w:date="2026-06-09T20:40:00Z" w:initials="MZ">
    <w:p w14:paraId="269EEE5E" w14:textId="112438AB" w:rsidR="00AC7737" w:rsidRDefault="00AC7737" w:rsidP="00AC7737">
      <w:r>
        <w:rPr>
          <w:rStyle w:val="Odwoaniedokomentarza"/>
        </w:rPr>
        <w:annotationRef/>
      </w:r>
      <w:r>
        <w:rPr>
          <w:color w:val="000000"/>
          <w:sz w:val="20"/>
          <w:szCs w:val="20"/>
        </w:rPr>
        <w:t>this is what i meant in the comment above, could be useful to clarify</w:t>
      </w:r>
    </w:p>
  </w:comment>
  <w:comment w:id="77" w:author="Marta Zur" w:date="2026-06-09T20:41:00Z" w:initials="MZ">
    <w:p w14:paraId="37C95755" w14:textId="77777777" w:rsidR="00AC7737" w:rsidRDefault="00AC7737" w:rsidP="00AC7737">
      <w:r>
        <w:rPr>
          <w:rStyle w:val="Odwoaniedokomentarza"/>
        </w:rPr>
        <w:annotationRef/>
      </w:r>
      <w:r>
        <w:rPr>
          <w:color w:val="000000"/>
          <w:sz w:val="20"/>
          <w:szCs w:val="20"/>
        </w:rPr>
        <w:t>why no structure/agency ?</w:t>
      </w:r>
    </w:p>
  </w:comment>
  <w:comment w:id="91" w:author="Marta Zur" w:date="2026-06-09T20:51:00Z" w:initials="MZ">
    <w:p w14:paraId="4EAFB4B2" w14:textId="77777777" w:rsidR="00983446" w:rsidRDefault="00983446" w:rsidP="00983446">
      <w:r>
        <w:rPr>
          <w:rStyle w:val="Odwoaniedokomentarza"/>
        </w:rPr>
        <w:annotationRef/>
      </w:r>
      <w:r>
        <w:rPr>
          <w:color w:val="000000"/>
          <w:sz w:val="20"/>
          <w:szCs w:val="20"/>
        </w:rPr>
        <w:t>i just used AI to come up with a suggestion, i think i have illustrated my point - i think examples would really help</w:t>
      </w:r>
    </w:p>
  </w:comment>
  <w:comment w:id="98" w:author="Marta Zur" w:date="2026-06-09T20:55:00Z" w:initials="MZ">
    <w:p w14:paraId="0E3CE79C" w14:textId="77777777" w:rsidR="00983446" w:rsidRDefault="00983446" w:rsidP="00983446">
      <w:r>
        <w:rPr>
          <w:rStyle w:val="Odwoaniedokomentarza"/>
        </w:rPr>
        <w:annotationRef/>
      </w:r>
      <w:r>
        <w:rPr>
          <w:color w:val="000000"/>
          <w:sz w:val="20"/>
          <w:szCs w:val="20"/>
        </w:rPr>
        <w:t xml:space="preserve">i do not understanding why once it is structure/agency and once material/ideational - is the chapter just still in progress? </w:t>
      </w:r>
    </w:p>
  </w:comment>
  <w:comment w:id="99" w:author="Marta Zur" w:date="2026-06-09T20:56:00Z" w:initials="MZ">
    <w:p w14:paraId="551998F6" w14:textId="77777777" w:rsidR="00983446" w:rsidRDefault="00983446" w:rsidP="00983446">
      <w:r>
        <w:rPr>
          <w:rStyle w:val="Odwoaniedokomentarza"/>
        </w:rPr>
        <w:annotationRef/>
      </w:r>
      <w:r>
        <w:rPr>
          <w:color w:val="000000"/>
          <w:sz w:val="20"/>
          <w:szCs w:val="20"/>
        </w:rPr>
        <w:t xml:space="preserve">this is strage phrasing - maybe cannot generate influence on reality and peoples lives?? </w:t>
      </w:r>
    </w:p>
  </w:comment>
  <w:comment w:id="103" w:author="Marta Zur" w:date="2026-06-09T20:58:00Z" w:initials="MZ">
    <w:p w14:paraId="48F1775A" w14:textId="77777777" w:rsidR="00983446" w:rsidRDefault="00983446" w:rsidP="00983446">
      <w:r>
        <w:rPr>
          <w:rStyle w:val="Odwoaniedokomentarza"/>
        </w:rPr>
        <w:annotationRef/>
      </w:r>
      <w:r>
        <w:rPr>
          <w:color w:val="000000"/>
          <w:sz w:val="20"/>
          <w:szCs w:val="20"/>
        </w:rPr>
        <w:t>doesnt a case study also have to done across a longer period of time?</w:t>
      </w:r>
    </w:p>
  </w:comment>
  <w:comment w:id="128" w:author="Marta Zur" w:date="2026-06-09T21:00:00Z" w:initials="MZ">
    <w:p w14:paraId="64E6CE6F" w14:textId="77777777" w:rsidR="00323751" w:rsidRDefault="00323751" w:rsidP="00323751">
      <w:r>
        <w:rPr>
          <w:rStyle w:val="Odwoaniedokomentarza"/>
        </w:rPr>
        <w:annotationRef/>
      </w:r>
      <w:r>
        <w:rPr>
          <w:color w:val="000000"/>
          <w:sz w:val="20"/>
          <w:szCs w:val="20"/>
        </w:rPr>
        <w:t>i think this is under-developed</w:t>
      </w:r>
    </w:p>
  </w:comment>
  <w:comment w:id="130" w:author="Marta Zur" w:date="2026-06-09T21:17:00Z" w:initials="MZ">
    <w:p w14:paraId="44644CBD" w14:textId="77777777" w:rsidR="0027704E" w:rsidRDefault="0027704E" w:rsidP="0027704E">
      <w:r>
        <w:rPr>
          <w:rStyle w:val="Odwoaniedokomentarza"/>
        </w:rPr>
        <w:annotationRef/>
      </w:r>
      <w:r>
        <w:rPr>
          <w:color w:val="000000"/>
          <w:sz w:val="20"/>
          <w:szCs w:val="20"/>
        </w:rPr>
        <w:t>i do not really see how this is a limitation? the nature of the case study is to study a particular case in depth so to begin with it does not concern itself with being generalizable (or at least it shouldnt)</w:t>
      </w:r>
    </w:p>
  </w:comment>
  <w:comment w:id="136" w:author="Marta Zur" w:date="2026-06-09T21:26:00Z" w:initials="MZ">
    <w:p w14:paraId="63A29CC9" w14:textId="77777777" w:rsidR="000172B8" w:rsidRDefault="000172B8" w:rsidP="000172B8">
      <w:r>
        <w:rPr>
          <w:rStyle w:val="Odwoaniedokomentarza"/>
        </w:rPr>
        <w:annotationRef/>
      </w:r>
      <w:r>
        <w:rPr>
          <w:color w:val="000000"/>
          <w:sz w:val="20"/>
          <w:szCs w:val="20"/>
        </w:rPr>
        <w:t xml:space="preserve">what does that mean? </w:t>
      </w:r>
    </w:p>
  </w:comment>
  <w:comment w:id="137" w:author="Marta Zur" w:date="2026-06-09T21:27:00Z" w:initials="MZ">
    <w:p w14:paraId="636720AE" w14:textId="77777777" w:rsidR="000172B8" w:rsidRDefault="000172B8" w:rsidP="000172B8">
      <w:r>
        <w:rPr>
          <w:rStyle w:val="Odwoaniedokomentarza"/>
        </w:rPr>
        <w:annotationRef/>
      </w:r>
      <w:r>
        <w:rPr>
          <w:color w:val="000000"/>
          <w:sz w:val="20"/>
          <w:szCs w:val="20"/>
        </w:rPr>
        <w:t xml:space="preserve">entry cohort? entering the same institutions? </w:t>
      </w:r>
    </w:p>
  </w:comment>
  <w:comment w:id="138" w:author="Marta Zur" w:date="2026-06-09T21:28:00Z" w:initials="MZ">
    <w:p w14:paraId="50227E79" w14:textId="77777777" w:rsidR="000172B8" w:rsidRDefault="000172B8" w:rsidP="000172B8">
      <w:r>
        <w:rPr>
          <w:rStyle w:val="Odwoaniedokomentarza"/>
        </w:rPr>
        <w:annotationRef/>
      </w:r>
      <w:r>
        <w:rPr>
          <w:color w:val="000000"/>
          <w:sz w:val="20"/>
          <w:szCs w:val="20"/>
        </w:rPr>
        <w:t>the 1930s ?</w:t>
      </w:r>
    </w:p>
  </w:comment>
  <w:comment w:id="139" w:author="Marta Zur" w:date="2026-06-09T21:30:00Z" w:initials="MZ">
    <w:p w14:paraId="5B6502AF" w14:textId="77777777" w:rsidR="000172B8" w:rsidRDefault="000172B8" w:rsidP="000172B8">
      <w:r>
        <w:rPr>
          <w:rStyle w:val="Odwoaniedokomentarza"/>
        </w:rPr>
        <w:annotationRef/>
      </w:r>
      <w:r>
        <w:rPr>
          <w:color w:val="000000"/>
          <w:sz w:val="20"/>
          <w:szCs w:val="20"/>
        </w:rPr>
        <w:t xml:space="preserve">this method was very clear </w:t>
      </w:r>
    </w:p>
  </w:comment>
  <w:comment w:id="141" w:author="Marta Zur" w:date="2026-06-09T21:32:00Z" w:initials="MZ">
    <w:p w14:paraId="036B2E86" w14:textId="77777777" w:rsidR="000172B8" w:rsidRDefault="000172B8" w:rsidP="000172B8">
      <w:r>
        <w:rPr>
          <w:rStyle w:val="Odwoaniedokomentarza"/>
        </w:rPr>
        <w:annotationRef/>
      </w:r>
      <w:r>
        <w:rPr>
          <w:color w:val="000000"/>
          <w:sz w:val="20"/>
          <w:szCs w:val="20"/>
        </w:rPr>
        <w:t xml:space="preserve">what does this mean exactly? why moderate - whats the limit/ average </w:t>
      </w:r>
    </w:p>
  </w:comment>
  <w:comment w:id="142" w:author="Marta Zur" w:date="2026-06-09T21:33:00Z" w:initials="MZ">
    <w:p w14:paraId="222C5FD1" w14:textId="77777777" w:rsidR="001E4D27" w:rsidRDefault="001E4D27" w:rsidP="001E4D27">
      <w:r>
        <w:rPr>
          <w:rStyle w:val="Odwoaniedokomentarza"/>
        </w:rPr>
        <w:annotationRef/>
      </w:r>
      <w:r>
        <w:rPr>
          <w:color w:val="000000"/>
          <w:sz w:val="20"/>
          <w:szCs w:val="20"/>
        </w:rPr>
        <w:t>a bit confusing to read also the sentence is too long</w:t>
      </w:r>
    </w:p>
  </w:comment>
  <w:comment w:id="156" w:author="Marta Zur" w:date="2026-06-09T21:37:00Z" w:initials="MZ">
    <w:p w14:paraId="57B4FF48" w14:textId="77777777" w:rsidR="001E4D27" w:rsidRDefault="001E4D27" w:rsidP="001E4D27">
      <w:r>
        <w:rPr>
          <w:rStyle w:val="Odwoaniedokomentarza"/>
        </w:rPr>
        <w:annotationRef/>
      </w:r>
      <w:r>
        <w:rPr>
          <w:color w:val="000000"/>
          <w:sz w:val="20"/>
          <w:szCs w:val="20"/>
        </w:rPr>
        <w:t xml:space="preserve">and why not individuals? </w:t>
      </w:r>
    </w:p>
  </w:comment>
  <w:comment w:id="159" w:author="Marta Zur" w:date="2026-06-09T21:40:00Z" w:initials="MZ">
    <w:p w14:paraId="4DCEFF26" w14:textId="77777777" w:rsidR="001E4D27" w:rsidRDefault="001E4D27" w:rsidP="001E4D27">
      <w:r>
        <w:rPr>
          <w:rStyle w:val="Odwoaniedokomentarza"/>
        </w:rPr>
        <w:annotationRef/>
      </w:r>
      <w:r>
        <w:rPr>
          <w:color w:val="000000"/>
          <w:sz w:val="20"/>
          <w:szCs w:val="20"/>
        </w:rPr>
        <w:t>and why just collective? could you not do a case study that takes a set of individual and applies a historical comparative analysis to see how the individuals different responded to a given historical event through time</w:t>
      </w:r>
    </w:p>
  </w:comment>
  <w:comment w:id="160" w:author="Marta Zur" w:date="2026-06-09T21:41:00Z" w:initials="MZ">
    <w:p w14:paraId="21ABC094" w14:textId="77777777" w:rsidR="001E4D27" w:rsidRDefault="001E4D27" w:rsidP="001E4D27">
      <w:r>
        <w:rPr>
          <w:rStyle w:val="Odwoaniedokomentarza"/>
        </w:rPr>
        <w:annotationRef/>
      </w:r>
      <w:r>
        <w:rPr>
          <w:color w:val="000000"/>
          <w:sz w:val="20"/>
          <w:szCs w:val="20"/>
        </w:rPr>
        <w:t>why? what is the comparison would show that actually the investigated group/ institutions reacted differently to a given situation over time</w:t>
      </w:r>
    </w:p>
  </w:comment>
  <w:comment w:id="163" w:author="Marta Zur" w:date="2026-06-09T21:43:00Z" w:initials="MZ">
    <w:p w14:paraId="4BBE389A" w14:textId="77777777" w:rsidR="006D557F" w:rsidRDefault="001E4D27" w:rsidP="006D557F">
      <w:r>
        <w:rPr>
          <w:rStyle w:val="Odwoaniedokomentarza"/>
        </w:rPr>
        <w:annotationRef/>
      </w:r>
      <w:r w:rsidR="006D557F">
        <w:rPr>
          <w:sz w:val="20"/>
          <w:szCs w:val="20"/>
        </w:rPr>
        <w:t xml:space="preserve">that is a good point but i think it is also just the role of the researcher to look for alternative historical sources or documents that would descrbe a non-dominant perspective (eg. diaries, family photographs, folklore) </w:t>
      </w:r>
    </w:p>
  </w:comment>
  <w:comment w:id="168" w:author="Marta Zur" w:date="2026-06-09T21:49:00Z" w:initials="MZ">
    <w:p w14:paraId="1FE991C6" w14:textId="77777777" w:rsidR="00FD2814" w:rsidRDefault="00FD2814" w:rsidP="00FD2814">
      <w:r>
        <w:rPr>
          <w:rStyle w:val="Odwoaniedokomentarza"/>
        </w:rPr>
        <w:annotationRef/>
      </w:r>
      <w:r>
        <w:rPr>
          <w:color w:val="000000"/>
          <w:sz w:val="20"/>
          <w:szCs w:val="20"/>
        </w:rPr>
        <w:t xml:space="preserve">why is ths here and not just in the limits? </w:t>
      </w:r>
    </w:p>
  </w:comment>
  <w:comment w:id="171" w:author="Marta Zur" w:date="2026-06-09T21:52:00Z" w:initials="MZ">
    <w:p w14:paraId="0C46C0E8" w14:textId="77777777" w:rsidR="00FD2814" w:rsidRDefault="00FD2814" w:rsidP="00FD2814">
      <w:r>
        <w:rPr>
          <w:rStyle w:val="Odwoaniedokomentarza"/>
        </w:rPr>
        <w:annotationRef/>
      </w:r>
      <w:r>
        <w:rPr>
          <w:color w:val="000000"/>
          <w:sz w:val="20"/>
          <w:szCs w:val="20"/>
        </w:rPr>
        <w:t>clear</w:t>
      </w:r>
    </w:p>
  </w:comment>
  <w:comment w:id="181" w:author="Marta Zur" w:date="2026-06-09T21:57:00Z" w:initials="MZ">
    <w:p w14:paraId="3BA30BFE" w14:textId="77777777" w:rsidR="00500933" w:rsidRDefault="00500933" w:rsidP="00500933">
      <w:r>
        <w:rPr>
          <w:rStyle w:val="Odwoaniedokomentarza"/>
        </w:rPr>
        <w:annotationRef/>
      </w:r>
      <w:r>
        <w:rPr>
          <w:color w:val="000000"/>
          <w:sz w:val="20"/>
          <w:szCs w:val="20"/>
        </w:rPr>
        <w:t>i have not noticed this being done with previous method. Maybe it is specific to ethnography but i think it is very useful to also outline the variant methods similar to the one that is being discussed that could potentially solve some of the limits - maybe this is something that should be added to all other methods</w:t>
      </w:r>
    </w:p>
  </w:comment>
  <w:comment w:id="188" w:author="Marta Zur" w:date="2026-06-09T22:05:00Z" w:initials="MZ">
    <w:p w14:paraId="65D76DF3" w14:textId="77777777" w:rsidR="00923FFC" w:rsidRDefault="00923FFC" w:rsidP="00923FFC">
      <w:r>
        <w:rPr>
          <w:rStyle w:val="Odwoaniedokomentarza"/>
        </w:rPr>
        <w:annotationRef/>
      </w:r>
      <w:r>
        <w:rPr>
          <w:color w:val="000000"/>
          <w:sz w:val="20"/>
          <w:szCs w:val="20"/>
        </w:rPr>
        <w:t xml:space="preserve">since this changes depending on the type of experiment </w:t>
      </w:r>
    </w:p>
  </w:comment>
  <w:comment w:id="193" w:author="Marta Zur" w:date="2026-06-09T22:09:00Z" w:initials="MZ">
    <w:p w14:paraId="1E4241EA" w14:textId="77777777" w:rsidR="00923FFC" w:rsidRDefault="00923FFC" w:rsidP="00923FFC">
      <w:r>
        <w:rPr>
          <w:rStyle w:val="Odwoaniedokomentarza"/>
        </w:rPr>
        <w:annotationRef/>
      </w:r>
      <w:r>
        <w:rPr>
          <w:color w:val="000000"/>
          <w:sz w:val="20"/>
          <w:szCs w:val="20"/>
        </w:rPr>
        <w:t xml:space="preserve">if this says in aspiration it suggests that it is actually  otherwise? </w:t>
      </w:r>
    </w:p>
  </w:comment>
  <w:comment w:id="196" w:author="Marta Zur" w:date="2026-06-09T22:10:00Z" w:initials="MZ">
    <w:p w14:paraId="5A99059A" w14:textId="77777777" w:rsidR="00923FFC" w:rsidRDefault="00923FFC" w:rsidP="00923FFC">
      <w:r>
        <w:rPr>
          <w:rStyle w:val="Odwoaniedokomentarza"/>
        </w:rPr>
        <w:annotationRef/>
      </w:r>
      <w:r>
        <w:rPr>
          <w:color w:val="000000"/>
          <w:sz w:val="20"/>
          <w:szCs w:val="20"/>
        </w:rPr>
        <w:t xml:space="preserve">oh i see, but i think this makes the argument week maybe if could be said „ this transcendent is conditional to establishing high external validity…” and then just say it is more towards transcendent </w:t>
      </w:r>
    </w:p>
  </w:comment>
  <w:comment w:id="197" w:author="Marta Zur" w:date="2026-06-09T22:12:00Z" w:initials="MZ">
    <w:p w14:paraId="3FEED52C" w14:textId="77777777" w:rsidR="00923FFC" w:rsidRDefault="00923FFC" w:rsidP="00923FFC">
      <w:r>
        <w:rPr>
          <w:rStyle w:val="Odwoaniedokomentarza"/>
        </w:rPr>
        <w:annotationRef/>
      </w:r>
      <w:r>
        <w:rPr>
          <w:color w:val="000000"/>
          <w:sz w:val="20"/>
          <w:szCs w:val="20"/>
        </w:rPr>
        <w:t xml:space="preserve">confusing to use methodology here since in the course we make such explicit distinctions between method/methodology </w:t>
      </w:r>
    </w:p>
  </w:comment>
  <w:comment w:id="199" w:author="Marta Zur" w:date="2026-06-09T22:13:00Z" w:initials="MZ">
    <w:p w14:paraId="2DC694DD" w14:textId="77777777" w:rsidR="00923FFC" w:rsidRDefault="00923FFC" w:rsidP="00923FFC">
      <w:r>
        <w:rPr>
          <w:rStyle w:val="Odwoaniedokomentarza"/>
        </w:rPr>
        <w:annotationRef/>
      </w:r>
      <w:r>
        <w:rPr>
          <w:color w:val="000000"/>
          <w:sz w:val="20"/>
          <w:szCs w:val="20"/>
        </w:rPr>
        <w:t>concrete example would help here</w:t>
      </w:r>
    </w:p>
  </w:comment>
  <w:comment w:id="201" w:author="Marta Zur" w:date="2026-06-09T22:15:00Z" w:initials="MZ">
    <w:p w14:paraId="58E535C6" w14:textId="77777777" w:rsidR="00B87311" w:rsidRDefault="00B87311" w:rsidP="00B87311">
      <w:r>
        <w:rPr>
          <w:rStyle w:val="Odwoaniedokomentarza"/>
        </w:rPr>
        <w:annotationRef/>
      </w:r>
      <w:r>
        <w:rPr>
          <w:color w:val="000000"/>
          <w:sz w:val="20"/>
          <w:szCs w:val="20"/>
        </w:rPr>
        <w:t xml:space="preserve">but this is a limitation that applies to all research ?? </w:t>
      </w:r>
    </w:p>
  </w:comment>
  <w:comment w:id="202" w:author="Marta Zur" w:date="2026-06-09T22:16:00Z" w:initials="MZ">
    <w:p w14:paraId="5D67E5B8" w14:textId="77777777" w:rsidR="00B87311" w:rsidRDefault="00B87311" w:rsidP="00B87311">
      <w:r>
        <w:rPr>
          <w:rStyle w:val="Odwoaniedokomentarza"/>
        </w:rPr>
        <w:annotationRef/>
      </w:r>
      <w:r>
        <w:rPr>
          <w:color w:val="000000"/>
          <w:sz w:val="20"/>
          <w:szCs w:val="20"/>
        </w:rPr>
        <w:t xml:space="preserve">maybe directly explain why it is particularly specific to grounded theory </w:t>
      </w:r>
    </w:p>
  </w:comment>
  <w:comment w:id="204" w:author="Marta Zur" w:date="2026-06-10T09:54:00Z" w:initials="MZ">
    <w:p w14:paraId="7A805AA9" w14:textId="77777777" w:rsidR="00291D20" w:rsidRDefault="00291D20" w:rsidP="00291D20">
      <w:r>
        <w:rPr>
          <w:rStyle w:val="Odwoaniedokomentarza"/>
        </w:rPr>
        <w:annotationRef/>
      </w:r>
      <w:r>
        <w:rPr>
          <w:sz w:val="20"/>
          <w:szCs w:val="20"/>
        </w:rPr>
        <w:t xml:space="preserve">This method was very vague for me and made me confused with some other methods explained above, it definitely would use an example </w:t>
      </w:r>
    </w:p>
  </w:comment>
  <w:comment w:id="207" w:author="Marta Zur" w:date="2026-06-09T22:19:00Z" w:initials="MZ">
    <w:p w14:paraId="5DF806D9" w14:textId="71BA4D1F" w:rsidR="00B87311" w:rsidRDefault="00B87311" w:rsidP="00B87311">
      <w:r>
        <w:rPr>
          <w:rStyle w:val="Odwoaniedokomentarza"/>
        </w:rPr>
        <w:annotationRef/>
      </w:r>
      <w:r>
        <w:rPr>
          <w:color w:val="000000"/>
          <w:sz w:val="20"/>
          <w:szCs w:val="20"/>
        </w:rPr>
        <w:t xml:space="preserve">how is this different from the other methods based on values and meanings </w:t>
      </w:r>
    </w:p>
  </w:comment>
  <w:comment w:id="208" w:author="Marta Zur" w:date="2026-06-09T22:21:00Z" w:initials="MZ">
    <w:p w14:paraId="384D6EF3" w14:textId="77777777" w:rsidR="00B87311" w:rsidRDefault="00B87311" w:rsidP="00B87311">
      <w:r>
        <w:rPr>
          <w:rStyle w:val="Odwoaniedokomentarza"/>
        </w:rPr>
        <w:annotationRef/>
      </w:r>
      <w:r>
        <w:rPr>
          <w:color w:val="000000"/>
          <w:sz w:val="20"/>
          <w:szCs w:val="20"/>
        </w:rPr>
        <w:t xml:space="preserve">maybe a more specifc definition would help or especially marking the difference against value-analytic resaerch for example - because it sounds really similar) </w:t>
      </w:r>
    </w:p>
  </w:comment>
  <w:comment w:id="211" w:author="Marta Zur" w:date="2026-06-09T22:33:00Z" w:initials="MZ">
    <w:p w14:paraId="116E51A5" w14:textId="77777777" w:rsidR="00264C42" w:rsidRDefault="00264C42" w:rsidP="00264C42">
      <w:r>
        <w:rPr>
          <w:rStyle w:val="Odwoaniedokomentarza"/>
        </w:rPr>
        <w:annotationRef/>
      </w:r>
      <w:r>
        <w:rPr>
          <w:color w:val="000000"/>
          <w:sz w:val="20"/>
          <w:szCs w:val="20"/>
        </w:rPr>
        <w:t xml:space="preserve">when i asked for a clarifying example this was a suggestion by Ai that i now edited, maybe it could help others understand </w:t>
      </w:r>
    </w:p>
  </w:comment>
  <w:comment w:id="227" w:author="Marta Zur" w:date="2026-06-09T23:59:00Z" w:initials="MZ">
    <w:p w14:paraId="55EBA29A" w14:textId="77777777" w:rsidR="006D35C4" w:rsidRDefault="006D35C4" w:rsidP="006D35C4">
      <w:r>
        <w:rPr>
          <w:rStyle w:val="Odwoaniedokomentarza"/>
        </w:rPr>
        <w:annotationRef/>
      </w:r>
      <w:r>
        <w:rPr>
          <w:color w:val="000000"/>
          <w:sz w:val="20"/>
          <w:szCs w:val="20"/>
        </w:rPr>
        <w:t xml:space="preserve">Apart from patterns of land use none of the other descriptions really make sense to me; with the first do you just mean inherited land? with the third infrastructure i guess makes sense but that is a very very broad term and then the last i really do not understand - do you mean the locations of institutions? </w:t>
      </w:r>
    </w:p>
  </w:comment>
  <w:comment w:id="228" w:author="Marta Zur" w:date="2026-06-10T00:04:00Z" w:initials="MZ">
    <w:p w14:paraId="563FBD32" w14:textId="77777777" w:rsidR="006D35C4" w:rsidRDefault="006D35C4" w:rsidP="006D35C4">
      <w:r>
        <w:rPr>
          <w:rStyle w:val="Odwoaniedokomentarza"/>
        </w:rPr>
        <w:annotationRef/>
      </w:r>
      <w:r>
        <w:rPr>
          <w:color w:val="000000"/>
          <w:sz w:val="20"/>
          <w:szCs w:val="20"/>
        </w:rPr>
        <w:t xml:space="preserve">this method was generally very clearly described </w:t>
      </w:r>
    </w:p>
  </w:comment>
  <w:comment w:id="247" w:author="Marta Zur" w:date="2026-06-10T00:17:00Z" w:initials="MZ">
    <w:p w14:paraId="7874D2CD" w14:textId="77777777" w:rsidR="001A3AAC" w:rsidRDefault="001A3AAC" w:rsidP="001A3AAC">
      <w:r>
        <w:rPr>
          <w:rStyle w:val="Odwoaniedokomentarza"/>
        </w:rPr>
        <w:annotationRef/>
      </w:r>
      <w:r>
        <w:rPr>
          <w:color w:val="000000"/>
          <w:sz w:val="20"/>
          <w:szCs w:val="20"/>
        </w:rPr>
        <w:t xml:space="preserve">this was a clear method </w:t>
      </w:r>
    </w:p>
  </w:comment>
  <w:comment w:id="259" w:author="Marta Zur" w:date="2026-06-10T00:23:00Z" w:initials="MZ">
    <w:p w14:paraId="4428B892" w14:textId="77777777" w:rsidR="0052559A" w:rsidRDefault="0052559A" w:rsidP="0052559A">
      <w:r>
        <w:rPr>
          <w:rStyle w:val="Odwoaniedokomentarza"/>
        </w:rPr>
        <w:annotationRef/>
      </w:r>
      <w:r>
        <w:rPr>
          <w:color w:val="000000"/>
          <w:sz w:val="20"/>
          <w:szCs w:val="20"/>
        </w:rPr>
        <w:t>Maybe here would be a good place to suggests methods or measurements that could be applied to solve this; or methods that are variences of meta analysis</w:t>
      </w:r>
    </w:p>
  </w:comment>
  <w:comment w:id="261" w:author="Marta Zur" w:date="2026-06-10T00:33:00Z" w:initials="MZ">
    <w:p w14:paraId="79D5A3CC" w14:textId="77777777" w:rsidR="006D24D6" w:rsidRDefault="006D24D6" w:rsidP="006D24D6">
      <w:r>
        <w:rPr>
          <w:rStyle w:val="Odwoaniedokomentarza"/>
        </w:rPr>
        <w:annotationRef/>
      </w:r>
      <w:r>
        <w:rPr>
          <w:color w:val="000000"/>
          <w:sz w:val="20"/>
          <w:szCs w:val="20"/>
        </w:rPr>
        <w:t xml:space="preserve">this is very helpful </w:t>
      </w:r>
    </w:p>
  </w:comment>
  <w:comment w:id="262" w:author="Marta Zur" w:date="2026-06-10T00:34:00Z" w:initials="MZ">
    <w:p w14:paraId="6307341A" w14:textId="77777777" w:rsidR="006D24D6" w:rsidRDefault="006D24D6" w:rsidP="006D24D6">
      <w:r>
        <w:rPr>
          <w:rStyle w:val="Odwoaniedokomentarza"/>
        </w:rPr>
        <w:annotationRef/>
      </w:r>
      <w:r>
        <w:rPr>
          <w:color w:val="000000"/>
          <w:sz w:val="20"/>
          <w:szCs w:val="20"/>
        </w:rPr>
        <w:t>what levels?</w:t>
      </w:r>
    </w:p>
  </w:comment>
  <w:comment w:id="263" w:author="Marta Zur" w:date="2026-06-10T00:34:00Z" w:initials="MZ">
    <w:p w14:paraId="7A611F17" w14:textId="77777777" w:rsidR="006D24D6" w:rsidRDefault="006D24D6" w:rsidP="006D24D6">
      <w:r>
        <w:rPr>
          <w:rStyle w:val="Odwoaniedokomentarza"/>
        </w:rPr>
        <w:annotationRef/>
      </w:r>
      <w:r>
        <w:rPr>
          <w:color w:val="000000"/>
          <w:sz w:val="20"/>
          <w:szCs w:val="20"/>
        </w:rPr>
        <w:t>levels of hierarchy? and if so according to what?</w:t>
      </w:r>
    </w:p>
  </w:comment>
  <w:comment w:id="267" w:author="Marta Zur" w:date="2026-06-10T00:37:00Z" w:initials="MZ">
    <w:p w14:paraId="50E6AF39" w14:textId="77777777" w:rsidR="006D24D6" w:rsidRDefault="006D24D6" w:rsidP="006D24D6">
      <w:r>
        <w:rPr>
          <w:rStyle w:val="Odwoaniedokomentarza"/>
        </w:rPr>
        <w:annotationRef/>
      </w:r>
      <w:r>
        <w:rPr>
          <w:color w:val="000000"/>
          <w:sz w:val="20"/>
          <w:szCs w:val="20"/>
        </w:rPr>
        <w:t xml:space="preserve">the rest is clear as it is </w:t>
      </w:r>
    </w:p>
  </w:comment>
  <w:comment w:id="268" w:author="Marta Zur" w:date="2026-06-10T00:39:00Z" w:initials="MZ">
    <w:p w14:paraId="66E886B2" w14:textId="77777777" w:rsidR="006D24D6" w:rsidRDefault="006D24D6" w:rsidP="006D24D6">
      <w:r>
        <w:rPr>
          <w:rStyle w:val="Odwoaniedokomentarza"/>
        </w:rPr>
        <w:annotationRef/>
      </w:r>
      <w:r>
        <w:rPr>
          <w:color w:val="000000"/>
          <w:sz w:val="20"/>
          <w:szCs w:val="20"/>
        </w:rPr>
        <w:t xml:space="preserve">so does this method particularly study the movement and link between the investigated sites or the actual observations/ study that is done on site and can be recognised in different locations? —&gt; this is a bit confusing  </w:t>
      </w:r>
    </w:p>
  </w:comment>
  <w:comment w:id="270" w:author="Marta Zur" w:date="2026-06-10T00:41:00Z" w:initials="MZ">
    <w:p w14:paraId="3C051D3D" w14:textId="77777777" w:rsidR="00C24D67" w:rsidRDefault="00C24D67" w:rsidP="00C24D67">
      <w:r>
        <w:rPr>
          <w:rStyle w:val="Odwoaniedokomentarza"/>
        </w:rPr>
        <w:annotationRef/>
      </w:r>
      <w:r>
        <w:rPr>
          <w:color w:val="000000"/>
          <w:sz w:val="20"/>
          <w:szCs w:val="20"/>
        </w:rPr>
        <w:t>i dont understand what this means</w:t>
      </w:r>
    </w:p>
  </w:comment>
  <w:comment w:id="274" w:author="Marta Zur" w:date="2026-06-10T00:51:00Z" w:initials="MZ">
    <w:p w14:paraId="2A0BC81E" w14:textId="77777777" w:rsidR="00C24D67" w:rsidRDefault="00C24D67" w:rsidP="00C24D67">
      <w:r>
        <w:rPr>
          <w:rStyle w:val="Odwoaniedokomentarza"/>
        </w:rPr>
        <w:annotationRef/>
      </w:r>
      <w:r>
        <w:rPr>
          <w:color w:val="000000"/>
          <w:sz w:val="20"/>
          <w:szCs w:val="20"/>
        </w:rPr>
        <w:t xml:space="preserve">the last two i have not heard. of so they are unclear to me </w:t>
      </w:r>
    </w:p>
  </w:comment>
  <w:comment w:id="275" w:author="Marta Zur" w:date="2026-06-10T00:52:00Z" w:initials="MZ">
    <w:p w14:paraId="25F793C2" w14:textId="77777777" w:rsidR="00FC2840" w:rsidRDefault="00FC2840" w:rsidP="00FC2840">
      <w:r>
        <w:rPr>
          <w:rStyle w:val="Odwoaniedokomentarza"/>
        </w:rPr>
        <w:annotationRef/>
      </w:r>
      <w:r>
        <w:rPr>
          <w:color w:val="000000"/>
          <w:sz w:val="20"/>
          <w:szCs w:val="20"/>
        </w:rPr>
        <w:t xml:space="preserve">its very helpful when the ‚primary object if research’ is explicitly mentioned; i would suggest that this is maintained throughout all of the methods - this would also help with structural clarity </w:t>
      </w:r>
    </w:p>
  </w:comment>
  <w:comment w:id="276" w:author="Marta Zur" w:date="2026-06-10T01:03:00Z" w:initials="MZ">
    <w:p w14:paraId="380D3989" w14:textId="77777777" w:rsidR="00FC2840" w:rsidRDefault="00FC2840" w:rsidP="00FC2840">
      <w:r>
        <w:rPr>
          <w:rStyle w:val="Odwoaniedokomentarza"/>
        </w:rPr>
        <w:annotationRef/>
      </w:r>
      <w:r>
        <w:rPr>
          <w:color w:val="000000"/>
          <w:sz w:val="20"/>
          <w:szCs w:val="20"/>
        </w:rPr>
        <w:t>this method still sounds very vague to me, i do not understand for what it could be applied to</w:t>
      </w:r>
    </w:p>
  </w:comment>
  <w:comment w:id="292" w:author="Marta Zur" w:date="2026-06-10T01:05:00Z" w:initials="MZ">
    <w:p w14:paraId="5C2DDB05" w14:textId="77777777" w:rsidR="00B60129" w:rsidRDefault="00B60129" w:rsidP="00B60129">
      <w:r>
        <w:rPr>
          <w:rStyle w:val="Odwoaniedokomentarza"/>
        </w:rPr>
        <w:annotationRef/>
      </w:r>
      <w:r>
        <w:rPr>
          <w:color w:val="000000"/>
          <w:sz w:val="20"/>
          <w:szCs w:val="20"/>
        </w:rPr>
        <w:t>very vague</w:t>
      </w:r>
    </w:p>
  </w:comment>
  <w:comment w:id="300" w:author="Marta Zur" w:date="2026-06-10T01:09:00Z" w:initials="MZ">
    <w:p w14:paraId="1AF27E6F" w14:textId="77777777" w:rsidR="00B60129" w:rsidRDefault="00B60129" w:rsidP="00B60129">
      <w:r>
        <w:rPr>
          <w:rStyle w:val="Odwoaniedokomentarza"/>
        </w:rPr>
        <w:annotationRef/>
      </w:r>
      <w:r>
        <w:rPr>
          <w:color w:val="000000"/>
          <w:sz w:val="20"/>
          <w:szCs w:val="20"/>
        </w:rPr>
        <w:t>the debate explanation and limits make sense but the initial explanation at the beginning could be improved</w:t>
      </w:r>
    </w:p>
  </w:comment>
  <w:comment w:id="301" w:author="Marta Zur" w:date="2026-06-10T01:11:00Z" w:initials="MZ">
    <w:p w14:paraId="320067B0" w14:textId="77777777" w:rsidR="00B60129" w:rsidRDefault="00B60129" w:rsidP="00B60129">
      <w:r>
        <w:rPr>
          <w:rStyle w:val="Odwoaniedokomentarza"/>
        </w:rPr>
        <w:annotationRef/>
      </w:r>
      <w:r>
        <w:rPr>
          <w:color w:val="000000"/>
          <w:sz w:val="20"/>
          <w:szCs w:val="20"/>
        </w:rPr>
        <w:t>clear</w:t>
      </w:r>
    </w:p>
  </w:comment>
  <w:comment w:id="304" w:author="Marta Zur" w:date="2026-06-10T01:14:00Z" w:initials="MZ">
    <w:p w14:paraId="204D541F" w14:textId="77777777" w:rsidR="00B60129" w:rsidRDefault="00B60129" w:rsidP="00B60129">
      <w:r>
        <w:rPr>
          <w:rStyle w:val="Odwoaniedokomentarza"/>
        </w:rPr>
        <w:annotationRef/>
      </w:r>
      <w:r>
        <w:rPr>
          <w:color w:val="000000"/>
          <w:sz w:val="20"/>
          <w:szCs w:val="20"/>
        </w:rPr>
        <w:t xml:space="preserve">Last sentence was unclear to me, everything else works </w:t>
      </w:r>
    </w:p>
  </w:comment>
  <w:comment w:id="309" w:author="Marta Zur" w:date="2026-06-10T01:25:00Z" w:initials="MZ">
    <w:p w14:paraId="3662780B" w14:textId="77777777" w:rsidR="00A74E82" w:rsidRDefault="00A74E82" w:rsidP="00A74E82">
      <w:r>
        <w:rPr>
          <w:rStyle w:val="Odwoaniedokomentarza"/>
        </w:rPr>
        <w:annotationRef/>
      </w:r>
      <w:r>
        <w:rPr>
          <w:color w:val="000000"/>
          <w:sz w:val="20"/>
          <w:szCs w:val="20"/>
        </w:rPr>
        <w:t xml:space="preserve">Also please excuse my lack of knowledge but to me, even through the way it is described, political economy reads far more as a methodology than a method? so this just left me a little puzzled </w:t>
      </w:r>
    </w:p>
  </w:comment>
  <w:comment w:id="310" w:author="Marta Zur" w:date="2026-06-10T01:20:00Z" w:initials="MZ">
    <w:p w14:paraId="36AB453C" w14:textId="10C1F392" w:rsidR="006102F9" w:rsidRDefault="006102F9" w:rsidP="006102F9">
      <w:r>
        <w:rPr>
          <w:rStyle w:val="Odwoaniedokomentarza"/>
        </w:rPr>
        <w:annotationRef/>
      </w:r>
      <w:r>
        <w:rPr>
          <w:color w:val="000000"/>
          <w:sz w:val="20"/>
          <w:szCs w:val="20"/>
        </w:rPr>
        <w:t xml:space="preserve">this part does not seem to be referred to/ explained </w:t>
      </w:r>
    </w:p>
  </w:comment>
  <w:comment w:id="313" w:author="Marta Zur" w:date="2026-06-10T01:22:00Z" w:initials="MZ">
    <w:p w14:paraId="411CCD81" w14:textId="77777777" w:rsidR="006102F9" w:rsidRDefault="006102F9" w:rsidP="006102F9">
      <w:r>
        <w:rPr>
          <w:rStyle w:val="Odwoaniedokomentarza"/>
        </w:rPr>
        <w:annotationRef/>
      </w:r>
      <w:r>
        <w:rPr>
          <w:color w:val="000000"/>
          <w:sz w:val="20"/>
          <w:szCs w:val="20"/>
        </w:rPr>
        <w:t xml:space="preserve">Besides New Institutionalism, this is the second time a method has bothe strcuture/agency and material/ideational —&gt; why this selection? how come the others dont have that? </w:t>
      </w:r>
    </w:p>
  </w:comment>
  <w:comment w:id="316" w:author="Marta Zur" w:date="2026-06-10T01:23:00Z" w:initials="MZ">
    <w:p w14:paraId="66896591" w14:textId="77777777" w:rsidR="006102F9" w:rsidRDefault="006102F9" w:rsidP="006102F9">
      <w:r>
        <w:rPr>
          <w:rStyle w:val="Odwoaniedokomentarza"/>
        </w:rPr>
        <w:annotationRef/>
      </w:r>
      <w:r>
        <w:rPr>
          <w:color w:val="000000"/>
          <w:sz w:val="20"/>
          <w:szCs w:val="20"/>
        </w:rPr>
        <w:t xml:space="preserve">This is underdeveloped </w:t>
      </w:r>
    </w:p>
  </w:comment>
  <w:comment w:id="318" w:author="Marta Zur" w:date="2026-06-10T01:26:00Z" w:initials="MZ">
    <w:p w14:paraId="65323942" w14:textId="77777777" w:rsidR="00A74E82" w:rsidRDefault="00A74E82" w:rsidP="00A74E82">
      <w:r>
        <w:rPr>
          <w:rStyle w:val="Odwoaniedokomentarza"/>
        </w:rPr>
        <w:annotationRef/>
      </w:r>
      <w:r>
        <w:rPr>
          <w:color w:val="000000"/>
          <w:sz w:val="20"/>
          <w:szCs w:val="20"/>
        </w:rPr>
        <w:t xml:space="preserve">this was very clear and direct </w:t>
      </w:r>
    </w:p>
  </w:comment>
  <w:comment w:id="352" w:author="Marta Zur" w:date="2026-06-10T09:21:00Z" w:initials="MZ">
    <w:p w14:paraId="0D7034CA" w14:textId="77777777" w:rsidR="00987F77" w:rsidRDefault="00987F77" w:rsidP="00987F77">
      <w:r>
        <w:rPr>
          <w:rStyle w:val="Odwoaniedokomentarza"/>
        </w:rPr>
        <w:annotationRef/>
      </w:r>
      <w:r>
        <w:rPr>
          <w:color w:val="000000"/>
          <w:sz w:val="20"/>
          <w:szCs w:val="20"/>
        </w:rPr>
        <w:t>This method remains unclear to me and it sounds a bit similar to network analysis? maybe it is not at all but i guess that just shows that it might be a bit unclear - an example would really help!!</w:t>
      </w:r>
    </w:p>
  </w:comment>
  <w:comment w:id="359" w:author="Marta Zur" w:date="2026-06-10T09:26:00Z" w:initials="MZ">
    <w:p w14:paraId="50E6105A" w14:textId="77777777" w:rsidR="00987F77" w:rsidRDefault="00987F77" w:rsidP="00987F77">
      <w:r>
        <w:rPr>
          <w:rStyle w:val="Odwoaniedokomentarza"/>
        </w:rPr>
        <w:annotationRef/>
      </w:r>
      <w:r>
        <w:rPr>
          <w:color w:val="000000"/>
          <w:sz w:val="20"/>
          <w:szCs w:val="20"/>
        </w:rPr>
        <w:t xml:space="preserve">this method was clear </w:t>
      </w:r>
    </w:p>
  </w:comment>
  <w:comment w:id="371" w:author="Marta Zur" w:date="2026-06-10T09:30:00Z" w:initials="MZ">
    <w:p w14:paraId="3E921C85" w14:textId="77777777" w:rsidR="00A41277" w:rsidRDefault="00A41277" w:rsidP="00A41277">
      <w:r>
        <w:rPr>
          <w:rStyle w:val="Odwoaniedokomentarza"/>
        </w:rPr>
        <w:annotationRef/>
      </w:r>
      <w:r>
        <w:rPr>
          <w:color w:val="000000"/>
          <w:sz w:val="20"/>
          <w:szCs w:val="20"/>
        </w:rPr>
        <w:t xml:space="preserve">This is very useful, to actually give different types of a method i think this works well </w:t>
      </w:r>
    </w:p>
  </w:comment>
  <w:comment w:id="372" w:author="Marta Zur" w:date="2026-06-10T09:33:00Z" w:initials="MZ">
    <w:p w14:paraId="419825B6" w14:textId="77777777" w:rsidR="00A41277" w:rsidRDefault="00A41277" w:rsidP="00A41277">
      <w:r>
        <w:rPr>
          <w:rStyle w:val="Odwoaniedokomentarza"/>
        </w:rPr>
        <w:annotationRef/>
      </w:r>
      <w:r>
        <w:rPr>
          <w:color w:val="000000"/>
          <w:sz w:val="20"/>
          <w:szCs w:val="20"/>
        </w:rPr>
        <w:t xml:space="preserve">this kind of overlaps with the historical geographic method, maybe would be useful to explicitly not how it differs </w:t>
      </w:r>
    </w:p>
  </w:comment>
  <w:comment w:id="373" w:author="Marta Zur" w:date="2026-06-10T09:36:00Z" w:initials="MZ">
    <w:p w14:paraId="38E1C0C2" w14:textId="77777777" w:rsidR="00A41277" w:rsidRDefault="00A41277" w:rsidP="00A41277">
      <w:r>
        <w:rPr>
          <w:rStyle w:val="Odwoaniedokomentarza"/>
        </w:rPr>
        <w:annotationRef/>
      </w:r>
      <w:r>
        <w:rPr>
          <w:color w:val="000000"/>
          <w:sz w:val="20"/>
          <w:szCs w:val="20"/>
        </w:rPr>
        <w:t xml:space="preserve">? why is this suddently placed here; is it in the end a very similar method the? historical-geographic analysis just occurs accross time? </w:t>
      </w:r>
    </w:p>
  </w:comment>
  <w:comment w:id="378" w:author="Marta Zur" w:date="2026-06-10T09:41:00Z" w:initials="MZ">
    <w:p w14:paraId="33A3CC85" w14:textId="77777777" w:rsidR="00926A93" w:rsidRDefault="00926A93" w:rsidP="00926A93">
      <w:r>
        <w:rPr>
          <w:rStyle w:val="Odwoaniedokomentarza"/>
        </w:rPr>
        <w:annotationRef/>
      </w:r>
      <w:r>
        <w:rPr>
          <w:color w:val="000000"/>
          <w:sz w:val="20"/>
          <w:szCs w:val="20"/>
        </w:rPr>
        <w:t>i feel like the description for the methods do not follow the same structure; this is a good phrase to use throughout every method and always start the sentence ‚the methods defining commitment….” to this I would also always add „the methods main object of research…”</w:t>
      </w:r>
    </w:p>
  </w:comment>
  <w:comment w:id="379" w:author="Marta Zur" w:date="2026-06-10T09:43:00Z" w:initials="MZ">
    <w:p w14:paraId="27E64B84" w14:textId="77777777" w:rsidR="00926A93" w:rsidRDefault="00926A93" w:rsidP="00926A93">
      <w:r>
        <w:rPr>
          <w:rStyle w:val="Odwoaniedokomentarza"/>
        </w:rPr>
        <w:annotationRef/>
      </w:r>
      <w:r>
        <w:rPr>
          <w:color w:val="000000"/>
          <w:sz w:val="20"/>
          <w:szCs w:val="20"/>
        </w:rPr>
        <w:t xml:space="preserve">this method was clear also because its so familiar </w:t>
      </w:r>
    </w:p>
  </w:comment>
  <w:comment w:id="383" w:author="Marta Zur" w:date="2026-06-10T09:45:00Z" w:initials="MZ">
    <w:p w14:paraId="5B814D89" w14:textId="77777777" w:rsidR="00926A93" w:rsidRDefault="00926A93" w:rsidP="00926A93">
      <w:r>
        <w:rPr>
          <w:rStyle w:val="Odwoaniedokomentarza"/>
        </w:rPr>
        <w:annotationRef/>
      </w:r>
      <w:r>
        <w:rPr>
          <w:color w:val="000000"/>
          <w:sz w:val="20"/>
          <w:szCs w:val="20"/>
        </w:rPr>
        <w:t xml:space="preserve">this method was clear </w:t>
      </w:r>
    </w:p>
  </w:comment>
  <w:comment w:id="384" w:author="Marta Zur" w:date="2026-06-10T09:45:00Z" w:initials="MZ">
    <w:p w14:paraId="653900A9" w14:textId="1BD865ED" w:rsidR="00926A93" w:rsidRDefault="00926A93" w:rsidP="00926A93">
      <w:r>
        <w:rPr>
          <w:rStyle w:val="Odwoaniedokomentarza"/>
        </w:rPr>
        <w:annotationRef/>
      </w:r>
      <w:r>
        <w:rPr>
          <w:color w:val="000000"/>
          <w:sz w:val="20"/>
          <w:szCs w:val="20"/>
        </w:rPr>
        <w:t xml:space="preserve">I am missing a method on archives/ histography (although maybe thats too specific)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2DD47D" w15:done="0"/>
  <w15:commentEx w15:paraId="45559EA7" w15:done="0"/>
  <w15:commentEx w15:paraId="3FFF7330" w15:done="0"/>
  <w15:commentEx w15:paraId="15BF477F" w15:done="0"/>
  <w15:commentEx w15:paraId="1BF82D39" w15:done="0"/>
  <w15:commentEx w15:paraId="7EBE37DE" w15:done="0"/>
  <w15:commentEx w15:paraId="271E52E1" w15:paraIdParent="7EBE37DE" w15:done="0"/>
  <w15:commentEx w15:paraId="092B3AAD" w15:done="0"/>
  <w15:commentEx w15:paraId="0DA21653" w15:done="0"/>
  <w15:commentEx w15:paraId="4B4AD84C" w15:done="0"/>
  <w15:commentEx w15:paraId="3272D3CB" w15:done="0"/>
  <w15:commentEx w15:paraId="5AAE51E5" w15:done="0"/>
  <w15:commentEx w15:paraId="480EFC0E" w15:done="0"/>
  <w15:commentEx w15:paraId="5715E7DF" w15:done="0"/>
  <w15:commentEx w15:paraId="77433301" w15:done="0"/>
  <w15:commentEx w15:paraId="147423B9" w15:done="0"/>
  <w15:commentEx w15:paraId="2B87085D" w15:done="0"/>
  <w15:commentEx w15:paraId="15C09800" w15:paraIdParent="2B87085D" w15:done="0"/>
  <w15:commentEx w15:paraId="5436532A" w15:done="0"/>
  <w15:commentEx w15:paraId="45BA534F" w15:done="0"/>
  <w15:commentEx w15:paraId="502F8E7B" w15:done="0"/>
  <w15:commentEx w15:paraId="269EEE5E" w15:done="0"/>
  <w15:commentEx w15:paraId="37C95755" w15:done="0"/>
  <w15:commentEx w15:paraId="4EAFB4B2" w15:done="0"/>
  <w15:commentEx w15:paraId="0E3CE79C" w15:done="0"/>
  <w15:commentEx w15:paraId="551998F6" w15:done="0"/>
  <w15:commentEx w15:paraId="48F1775A" w15:done="0"/>
  <w15:commentEx w15:paraId="64E6CE6F" w15:done="0"/>
  <w15:commentEx w15:paraId="44644CBD" w15:done="0"/>
  <w15:commentEx w15:paraId="63A29CC9" w15:done="0"/>
  <w15:commentEx w15:paraId="636720AE" w15:done="0"/>
  <w15:commentEx w15:paraId="50227E79" w15:done="0"/>
  <w15:commentEx w15:paraId="5B6502AF" w15:done="0"/>
  <w15:commentEx w15:paraId="036B2E86" w15:done="0"/>
  <w15:commentEx w15:paraId="222C5FD1" w15:done="0"/>
  <w15:commentEx w15:paraId="57B4FF48" w15:done="0"/>
  <w15:commentEx w15:paraId="4DCEFF26" w15:done="0"/>
  <w15:commentEx w15:paraId="21ABC094" w15:done="0"/>
  <w15:commentEx w15:paraId="4BBE389A" w15:done="0"/>
  <w15:commentEx w15:paraId="1FE991C6" w15:done="0"/>
  <w15:commentEx w15:paraId="0C46C0E8" w15:done="0"/>
  <w15:commentEx w15:paraId="3BA30BFE" w15:done="0"/>
  <w15:commentEx w15:paraId="65D76DF3" w15:done="0"/>
  <w15:commentEx w15:paraId="1E4241EA" w15:done="0"/>
  <w15:commentEx w15:paraId="5A99059A" w15:done="0"/>
  <w15:commentEx w15:paraId="3FEED52C" w15:done="0"/>
  <w15:commentEx w15:paraId="2DC694DD" w15:done="0"/>
  <w15:commentEx w15:paraId="58E535C6" w15:done="0"/>
  <w15:commentEx w15:paraId="5D67E5B8" w15:paraIdParent="58E535C6" w15:done="0"/>
  <w15:commentEx w15:paraId="7A805AA9" w15:done="0"/>
  <w15:commentEx w15:paraId="5DF806D9" w15:done="0"/>
  <w15:commentEx w15:paraId="384D6EF3" w15:paraIdParent="5DF806D9" w15:done="0"/>
  <w15:commentEx w15:paraId="116E51A5" w15:done="0"/>
  <w15:commentEx w15:paraId="55EBA29A" w15:done="0"/>
  <w15:commentEx w15:paraId="563FBD32" w15:done="0"/>
  <w15:commentEx w15:paraId="7874D2CD" w15:done="0"/>
  <w15:commentEx w15:paraId="4428B892" w15:done="0"/>
  <w15:commentEx w15:paraId="79D5A3CC" w15:done="0"/>
  <w15:commentEx w15:paraId="6307341A" w15:done="0"/>
  <w15:commentEx w15:paraId="7A611F17" w15:paraIdParent="6307341A" w15:done="0"/>
  <w15:commentEx w15:paraId="50E6AF39" w15:done="0"/>
  <w15:commentEx w15:paraId="66E886B2" w15:done="0"/>
  <w15:commentEx w15:paraId="3C051D3D" w15:done="0"/>
  <w15:commentEx w15:paraId="2A0BC81E" w15:done="0"/>
  <w15:commentEx w15:paraId="25F793C2" w15:done="0"/>
  <w15:commentEx w15:paraId="380D3989" w15:done="0"/>
  <w15:commentEx w15:paraId="5C2DDB05" w15:done="0"/>
  <w15:commentEx w15:paraId="1AF27E6F" w15:done="0"/>
  <w15:commentEx w15:paraId="320067B0" w15:done="0"/>
  <w15:commentEx w15:paraId="204D541F" w15:done="0"/>
  <w15:commentEx w15:paraId="3662780B" w15:done="0"/>
  <w15:commentEx w15:paraId="36AB453C" w15:done="0"/>
  <w15:commentEx w15:paraId="411CCD81" w15:done="0"/>
  <w15:commentEx w15:paraId="66896591" w15:done="0"/>
  <w15:commentEx w15:paraId="65323942" w15:done="0"/>
  <w15:commentEx w15:paraId="0D7034CA" w15:done="0"/>
  <w15:commentEx w15:paraId="50E6105A" w15:done="0"/>
  <w15:commentEx w15:paraId="3E921C85" w15:done="0"/>
  <w15:commentEx w15:paraId="419825B6" w15:done="0"/>
  <w15:commentEx w15:paraId="38E1C0C2" w15:done="0"/>
  <w15:commentEx w15:paraId="33A3CC85" w15:done="0"/>
  <w15:commentEx w15:paraId="27E64B84" w15:done="0"/>
  <w15:commentEx w15:paraId="5B814D89" w15:done="0"/>
  <w15:commentEx w15:paraId="65390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A6AC81" w16cex:dateUtc="2026-06-09T17:16:00Z"/>
  <w16cex:commentExtensible w16cex:durableId="770B937D" w16cex:dateUtc="2026-06-09T17:17:00Z"/>
  <w16cex:commentExtensible w16cex:durableId="43168E2C" w16cex:dateUtc="2026-06-09T17:18:00Z"/>
  <w16cex:commentExtensible w16cex:durableId="789B48C0" w16cex:dateUtc="2026-06-09T17:19:00Z"/>
  <w16cex:commentExtensible w16cex:durableId="79FFA53B" w16cex:dateUtc="2026-06-09T17:19:00Z"/>
  <w16cex:commentExtensible w16cex:durableId="0BD8F82F" w16cex:dateUtc="2026-06-09T17:21:00Z"/>
  <w16cex:commentExtensible w16cex:durableId="03A2B30D" w16cex:dateUtc="2026-06-09T17:21:00Z"/>
  <w16cex:commentExtensible w16cex:durableId="371DB922" w16cex:dateUtc="2026-06-09T17:24:00Z"/>
  <w16cex:commentExtensible w16cex:durableId="283F4538" w16cex:dateUtc="2026-06-09T17:26:00Z"/>
  <w16cex:commentExtensible w16cex:durableId="4FDE08D0" w16cex:dateUtc="2026-06-09T17:23:00Z"/>
  <w16cex:commentExtensible w16cex:durableId="38CBD34A" w16cex:dateUtc="2026-06-09T17:26:00Z"/>
  <w16cex:commentExtensible w16cex:durableId="37F3D931" w16cex:dateUtc="2026-06-09T17:30:00Z"/>
  <w16cex:commentExtensible w16cex:durableId="4A1E7ADF" w16cex:dateUtc="2026-06-09T18:19:00Z"/>
  <w16cex:commentExtensible w16cex:durableId="718AA62E" w16cex:dateUtc="2026-06-09T18:21:00Z"/>
  <w16cex:commentExtensible w16cex:durableId="7889EFC9" w16cex:dateUtc="2026-06-09T18:24:00Z"/>
  <w16cex:commentExtensible w16cex:durableId="3E88C368" w16cex:dateUtc="2026-06-09T18:26:00Z"/>
  <w16cex:commentExtensible w16cex:durableId="198DC0C5" w16cex:dateUtc="2026-06-09T18:28:00Z"/>
  <w16cex:commentExtensible w16cex:durableId="483A445A" w16cex:dateUtc="2026-06-09T18:32:00Z"/>
  <w16cex:commentExtensible w16cex:durableId="01572759" w16cex:dateUtc="2026-06-09T18:38:00Z"/>
  <w16cex:commentExtensible w16cex:durableId="0C57A63D" w16cex:dateUtc="2026-06-09T18:46:00Z"/>
  <w16cex:commentExtensible w16cex:durableId="47F8C51C" w16cex:dateUtc="2026-06-09T18:47:00Z"/>
  <w16cex:commentExtensible w16cex:durableId="0B6E56EF" w16cex:dateUtc="2026-06-09T18:40:00Z"/>
  <w16cex:commentExtensible w16cex:durableId="40ADB10E" w16cex:dateUtc="2026-06-09T18:41:00Z"/>
  <w16cex:commentExtensible w16cex:durableId="5BA85A53" w16cex:dateUtc="2026-06-09T18:51:00Z"/>
  <w16cex:commentExtensible w16cex:durableId="4EBE047E" w16cex:dateUtc="2026-06-09T18:55:00Z"/>
  <w16cex:commentExtensible w16cex:durableId="44195CF4" w16cex:dateUtc="2026-06-09T18:56:00Z"/>
  <w16cex:commentExtensible w16cex:durableId="6CE1A563" w16cex:dateUtc="2026-06-09T18:58:00Z"/>
  <w16cex:commentExtensible w16cex:durableId="5DE71339" w16cex:dateUtc="2026-06-09T19:00:00Z"/>
  <w16cex:commentExtensible w16cex:durableId="30258B41" w16cex:dateUtc="2026-06-09T19:17:00Z"/>
  <w16cex:commentExtensible w16cex:durableId="330608EC" w16cex:dateUtc="2026-06-09T19:26:00Z"/>
  <w16cex:commentExtensible w16cex:durableId="74BE6289" w16cex:dateUtc="2026-06-09T19:27:00Z"/>
  <w16cex:commentExtensible w16cex:durableId="3433147B" w16cex:dateUtc="2026-06-09T19:28:00Z"/>
  <w16cex:commentExtensible w16cex:durableId="11882358" w16cex:dateUtc="2026-06-09T19:30:00Z"/>
  <w16cex:commentExtensible w16cex:durableId="55176898" w16cex:dateUtc="2026-06-09T19:32:00Z"/>
  <w16cex:commentExtensible w16cex:durableId="6A9C6976" w16cex:dateUtc="2026-06-09T19:33:00Z"/>
  <w16cex:commentExtensible w16cex:durableId="2E818A30" w16cex:dateUtc="2026-06-09T19:37:00Z"/>
  <w16cex:commentExtensible w16cex:durableId="0923154C" w16cex:dateUtc="2026-06-09T19:40:00Z"/>
  <w16cex:commentExtensible w16cex:durableId="5029BBB7" w16cex:dateUtc="2026-06-09T19:41:00Z"/>
  <w16cex:commentExtensible w16cex:durableId="44AC220D" w16cex:dateUtc="2026-06-09T19:43:00Z"/>
  <w16cex:commentExtensible w16cex:durableId="35A30843" w16cex:dateUtc="2026-06-09T19:49:00Z"/>
  <w16cex:commentExtensible w16cex:durableId="004A92BE" w16cex:dateUtc="2026-06-09T19:52:00Z"/>
  <w16cex:commentExtensible w16cex:durableId="240C25CF" w16cex:dateUtc="2026-06-09T19:57:00Z"/>
  <w16cex:commentExtensible w16cex:durableId="7B3D0B0A" w16cex:dateUtc="2026-06-09T20:05:00Z"/>
  <w16cex:commentExtensible w16cex:durableId="0708496F" w16cex:dateUtc="2026-06-09T20:09:00Z"/>
  <w16cex:commentExtensible w16cex:durableId="30976352" w16cex:dateUtc="2026-06-09T20:10:00Z"/>
  <w16cex:commentExtensible w16cex:durableId="35937918" w16cex:dateUtc="2026-06-09T20:12:00Z"/>
  <w16cex:commentExtensible w16cex:durableId="0FD9F1A7" w16cex:dateUtc="2026-06-09T20:13:00Z"/>
  <w16cex:commentExtensible w16cex:durableId="5CEC7F4A" w16cex:dateUtc="2026-06-09T20:15:00Z"/>
  <w16cex:commentExtensible w16cex:durableId="5A40F8AA" w16cex:dateUtc="2026-06-09T20:16:00Z"/>
  <w16cex:commentExtensible w16cex:durableId="5742B586" w16cex:dateUtc="2026-06-10T07:54:00Z"/>
  <w16cex:commentExtensible w16cex:durableId="7185E8AD" w16cex:dateUtc="2026-06-09T20:19:00Z"/>
  <w16cex:commentExtensible w16cex:durableId="2803C819" w16cex:dateUtc="2026-06-09T20:21:00Z"/>
  <w16cex:commentExtensible w16cex:durableId="70BF11E8" w16cex:dateUtc="2026-06-09T20:33:00Z"/>
  <w16cex:commentExtensible w16cex:durableId="79BB9E12" w16cex:dateUtc="2026-06-09T21:59:00Z"/>
  <w16cex:commentExtensible w16cex:durableId="5D57AE10" w16cex:dateUtc="2026-06-09T22:04:00Z"/>
  <w16cex:commentExtensible w16cex:durableId="2F6B74B7" w16cex:dateUtc="2026-06-09T22:17:00Z"/>
  <w16cex:commentExtensible w16cex:durableId="5BD98991" w16cex:dateUtc="2026-06-09T22:23:00Z"/>
  <w16cex:commentExtensible w16cex:durableId="0D45490B" w16cex:dateUtc="2026-06-09T22:33:00Z"/>
  <w16cex:commentExtensible w16cex:durableId="5FD786CB" w16cex:dateUtc="2026-06-09T22:34:00Z"/>
  <w16cex:commentExtensible w16cex:durableId="3F0FD0F3" w16cex:dateUtc="2026-06-09T22:34:00Z"/>
  <w16cex:commentExtensible w16cex:durableId="35796161" w16cex:dateUtc="2026-06-09T22:37:00Z"/>
  <w16cex:commentExtensible w16cex:durableId="5398225F" w16cex:dateUtc="2026-06-09T22:39:00Z"/>
  <w16cex:commentExtensible w16cex:durableId="3F1BC785" w16cex:dateUtc="2026-06-09T22:41:00Z"/>
  <w16cex:commentExtensible w16cex:durableId="2018A497" w16cex:dateUtc="2026-06-09T22:51:00Z"/>
  <w16cex:commentExtensible w16cex:durableId="68760367" w16cex:dateUtc="2026-06-09T22:52:00Z"/>
  <w16cex:commentExtensible w16cex:durableId="1507758C" w16cex:dateUtc="2026-06-09T23:03:00Z"/>
  <w16cex:commentExtensible w16cex:durableId="3753B07C" w16cex:dateUtc="2026-06-09T23:05:00Z"/>
  <w16cex:commentExtensible w16cex:durableId="1C6D05FD" w16cex:dateUtc="2026-06-09T23:09:00Z"/>
  <w16cex:commentExtensible w16cex:durableId="78B68F2D" w16cex:dateUtc="2026-06-09T23:11:00Z"/>
  <w16cex:commentExtensible w16cex:durableId="02EF341C" w16cex:dateUtc="2026-06-09T23:14:00Z"/>
  <w16cex:commentExtensible w16cex:durableId="42A48AC1" w16cex:dateUtc="2026-06-09T23:25:00Z"/>
  <w16cex:commentExtensible w16cex:durableId="4E585F79" w16cex:dateUtc="2026-06-09T23:20:00Z"/>
  <w16cex:commentExtensible w16cex:durableId="5850747B" w16cex:dateUtc="2026-06-09T23:22:00Z"/>
  <w16cex:commentExtensible w16cex:durableId="4602D105" w16cex:dateUtc="2026-06-09T23:23:00Z"/>
  <w16cex:commentExtensible w16cex:durableId="768040EE" w16cex:dateUtc="2026-06-09T23:26:00Z"/>
  <w16cex:commentExtensible w16cex:durableId="3A436431" w16cex:dateUtc="2026-06-10T07:21:00Z"/>
  <w16cex:commentExtensible w16cex:durableId="6DA4847F" w16cex:dateUtc="2026-06-10T07:26:00Z"/>
  <w16cex:commentExtensible w16cex:durableId="69E1A2CE" w16cex:dateUtc="2026-06-10T07:30:00Z"/>
  <w16cex:commentExtensible w16cex:durableId="2654D007" w16cex:dateUtc="2026-06-10T07:33:00Z"/>
  <w16cex:commentExtensible w16cex:durableId="265D63EB" w16cex:dateUtc="2026-06-10T07:36:00Z"/>
  <w16cex:commentExtensible w16cex:durableId="47639130" w16cex:dateUtc="2026-06-10T07:41:00Z"/>
  <w16cex:commentExtensible w16cex:durableId="57CC0A7D" w16cex:dateUtc="2026-06-10T07:43:00Z"/>
  <w16cex:commentExtensible w16cex:durableId="21171A40" w16cex:dateUtc="2026-06-10T07:45:00Z"/>
  <w16cex:commentExtensible w16cex:durableId="288FEE1A" w16cex:dateUtc="2026-06-10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2DD47D" w16cid:durableId="3CA6AC81"/>
  <w16cid:commentId w16cid:paraId="45559EA7" w16cid:durableId="770B937D"/>
  <w16cid:commentId w16cid:paraId="3FFF7330" w16cid:durableId="43168E2C"/>
  <w16cid:commentId w16cid:paraId="15BF477F" w16cid:durableId="789B48C0"/>
  <w16cid:commentId w16cid:paraId="1BF82D39" w16cid:durableId="79FFA53B"/>
  <w16cid:commentId w16cid:paraId="7EBE37DE" w16cid:durableId="0BD8F82F"/>
  <w16cid:commentId w16cid:paraId="271E52E1" w16cid:durableId="03A2B30D"/>
  <w16cid:commentId w16cid:paraId="092B3AAD" w16cid:durableId="371DB922"/>
  <w16cid:commentId w16cid:paraId="0DA21653" w16cid:durableId="283F4538"/>
  <w16cid:commentId w16cid:paraId="4B4AD84C" w16cid:durableId="4FDE08D0"/>
  <w16cid:commentId w16cid:paraId="3272D3CB" w16cid:durableId="38CBD34A"/>
  <w16cid:commentId w16cid:paraId="5AAE51E5" w16cid:durableId="37F3D931"/>
  <w16cid:commentId w16cid:paraId="480EFC0E" w16cid:durableId="4A1E7ADF"/>
  <w16cid:commentId w16cid:paraId="5715E7DF" w16cid:durableId="718AA62E"/>
  <w16cid:commentId w16cid:paraId="77433301" w16cid:durableId="7889EFC9"/>
  <w16cid:commentId w16cid:paraId="147423B9" w16cid:durableId="3E88C368"/>
  <w16cid:commentId w16cid:paraId="2B87085D" w16cid:durableId="198DC0C5"/>
  <w16cid:commentId w16cid:paraId="15C09800" w16cid:durableId="483A445A"/>
  <w16cid:commentId w16cid:paraId="5436532A" w16cid:durableId="01572759"/>
  <w16cid:commentId w16cid:paraId="45BA534F" w16cid:durableId="0C57A63D"/>
  <w16cid:commentId w16cid:paraId="502F8E7B" w16cid:durableId="47F8C51C"/>
  <w16cid:commentId w16cid:paraId="269EEE5E" w16cid:durableId="0B6E56EF"/>
  <w16cid:commentId w16cid:paraId="37C95755" w16cid:durableId="40ADB10E"/>
  <w16cid:commentId w16cid:paraId="4EAFB4B2" w16cid:durableId="5BA85A53"/>
  <w16cid:commentId w16cid:paraId="0E3CE79C" w16cid:durableId="4EBE047E"/>
  <w16cid:commentId w16cid:paraId="551998F6" w16cid:durableId="44195CF4"/>
  <w16cid:commentId w16cid:paraId="48F1775A" w16cid:durableId="6CE1A563"/>
  <w16cid:commentId w16cid:paraId="64E6CE6F" w16cid:durableId="5DE71339"/>
  <w16cid:commentId w16cid:paraId="44644CBD" w16cid:durableId="30258B41"/>
  <w16cid:commentId w16cid:paraId="63A29CC9" w16cid:durableId="330608EC"/>
  <w16cid:commentId w16cid:paraId="636720AE" w16cid:durableId="74BE6289"/>
  <w16cid:commentId w16cid:paraId="50227E79" w16cid:durableId="3433147B"/>
  <w16cid:commentId w16cid:paraId="5B6502AF" w16cid:durableId="11882358"/>
  <w16cid:commentId w16cid:paraId="036B2E86" w16cid:durableId="55176898"/>
  <w16cid:commentId w16cid:paraId="222C5FD1" w16cid:durableId="6A9C6976"/>
  <w16cid:commentId w16cid:paraId="57B4FF48" w16cid:durableId="2E818A30"/>
  <w16cid:commentId w16cid:paraId="4DCEFF26" w16cid:durableId="0923154C"/>
  <w16cid:commentId w16cid:paraId="21ABC094" w16cid:durableId="5029BBB7"/>
  <w16cid:commentId w16cid:paraId="4BBE389A" w16cid:durableId="44AC220D"/>
  <w16cid:commentId w16cid:paraId="1FE991C6" w16cid:durableId="35A30843"/>
  <w16cid:commentId w16cid:paraId="0C46C0E8" w16cid:durableId="004A92BE"/>
  <w16cid:commentId w16cid:paraId="3BA30BFE" w16cid:durableId="240C25CF"/>
  <w16cid:commentId w16cid:paraId="65D76DF3" w16cid:durableId="7B3D0B0A"/>
  <w16cid:commentId w16cid:paraId="1E4241EA" w16cid:durableId="0708496F"/>
  <w16cid:commentId w16cid:paraId="5A99059A" w16cid:durableId="30976352"/>
  <w16cid:commentId w16cid:paraId="3FEED52C" w16cid:durableId="35937918"/>
  <w16cid:commentId w16cid:paraId="2DC694DD" w16cid:durableId="0FD9F1A7"/>
  <w16cid:commentId w16cid:paraId="58E535C6" w16cid:durableId="5CEC7F4A"/>
  <w16cid:commentId w16cid:paraId="5D67E5B8" w16cid:durableId="5A40F8AA"/>
  <w16cid:commentId w16cid:paraId="7A805AA9" w16cid:durableId="5742B586"/>
  <w16cid:commentId w16cid:paraId="5DF806D9" w16cid:durableId="7185E8AD"/>
  <w16cid:commentId w16cid:paraId="384D6EF3" w16cid:durableId="2803C819"/>
  <w16cid:commentId w16cid:paraId="116E51A5" w16cid:durableId="70BF11E8"/>
  <w16cid:commentId w16cid:paraId="55EBA29A" w16cid:durableId="79BB9E12"/>
  <w16cid:commentId w16cid:paraId="563FBD32" w16cid:durableId="5D57AE10"/>
  <w16cid:commentId w16cid:paraId="7874D2CD" w16cid:durableId="2F6B74B7"/>
  <w16cid:commentId w16cid:paraId="4428B892" w16cid:durableId="5BD98991"/>
  <w16cid:commentId w16cid:paraId="79D5A3CC" w16cid:durableId="0D45490B"/>
  <w16cid:commentId w16cid:paraId="6307341A" w16cid:durableId="5FD786CB"/>
  <w16cid:commentId w16cid:paraId="7A611F17" w16cid:durableId="3F0FD0F3"/>
  <w16cid:commentId w16cid:paraId="50E6AF39" w16cid:durableId="35796161"/>
  <w16cid:commentId w16cid:paraId="66E886B2" w16cid:durableId="5398225F"/>
  <w16cid:commentId w16cid:paraId="3C051D3D" w16cid:durableId="3F1BC785"/>
  <w16cid:commentId w16cid:paraId="2A0BC81E" w16cid:durableId="2018A497"/>
  <w16cid:commentId w16cid:paraId="25F793C2" w16cid:durableId="68760367"/>
  <w16cid:commentId w16cid:paraId="380D3989" w16cid:durableId="1507758C"/>
  <w16cid:commentId w16cid:paraId="5C2DDB05" w16cid:durableId="3753B07C"/>
  <w16cid:commentId w16cid:paraId="1AF27E6F" w16cid:durableId="1C6D05FD"/>
  <w16cid:commentId w16cid:paraId="320067B0" w16cid:durableId="78B68F2D"/>
  <w16cid:commentId w16cid:paraId="204D541F" w16cid:durableId="02EF341C"/>
  <w16cid:commentId w16cid:paraId="3662780B" w16cid:durableId="42A48AC1"/>
  <w16cid:commentId w16cid:paraId="36AB453C" w16cid:durableId="4E585F79"/>
  <w16cid:commentId w16cid:paraId="411CCD81" w16cid:durableId="5850747B"/>
  <w16cid:commentId w16cid:paraId="66896591" w16cid:durableId="4602D105"/>
  <w16cid:commentId w16cid:paraId="65323942" w16cid:durableId="768040EE"/>
  <w16cid:commentId w16cid:paraId="0D7034CA" w16cid:durableId="3A436431"/>
  <w16cid:commentId w16cid:paraId="50E6105A" w16cid:durableId="6DA4847F"/>
  <w16cid:commentId w16cid:paraId="3E921C85" w16cid:durableId="69E1A2CE"/>
  <w16cid:commentId w16cid:paraId="419825B6" w16cid:durableId="2654D007"/>
  <w16cid:commentId w16cid:paraId="38E1C0C2" w16cid:durableId="265D63EB"/>
  <w16cid:commentId w16cid:paraId="33A3CC85" w16cid:durableId="47639130"/>
  <w16cid:commentId w16cid:paraId="27E64B84" w16cid:durableId="57CC0A7D"/>
  <w16cid:commentId w16cid:paraId="5B814D89" w16cid:durableId="21171A40"/>
  <w16cid:commentId w16cid:paraId="653900A9" w16cid:durableId="288FEE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E15D23"/>
    <w:multiLevelType w:val="hybridMultilevel"/>
    <w:tmpl w:val="7848FFCA"/>
    <w:lvl w:ilvl="0" w:tplc="30EAD1CE">
      <w:start w:val="11"/>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1284267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ta Zur">
    <w15:presenceInfo w15:providerId="Windows Live" w15:userId="85c8fec6e9a76b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56"/>
    <w:rsid w:val="000172B8"/>
    <w:rsid w:val="0003647F"/>
    <w:rsid w:val="0010499C"/>
    <w:rsid w:val="001A3AAC"/>
    <w:rsid w:val="001E4D27"/>
    <w:rsid w:val="00264C42"/>
    <w:rsid w:val="0027704E"/>
    <w:rsid w:val="00291D20"/>
    <w:rsid w:val="002A0591"/>
    <w:rsid w:val="00323751"/>
    <w:rsid w:val="00500933"/>
    <w:rsid w:val="005204DD"/>
    <w:rsid w:val="0052559A"/>
    <w:rsid w:val="006102F9"/>
    <w:rsid w:val="00640746"/>
    <w:rsid w:val="00675F56"/>
    <w:rsid w:val="006D24D6"/>
    <w:rsid w:val="006D35C4"/>
    <w:rsid w:val="006D557F"/>
    <w:rsid w:val="008B027C"/>
    <w:rsid w:val="00923FFC"/>
    <w:rsid w:val="00926A93"/>
    <w:rsid w:val="00983446"/>
    <w:rsid w:val="00987F77"/>
    <w:rsid w:val="00A025FE"/>
    <w:rsid w:val="00A41277"/>
    <w:rsid w:val="00A74E82"/>
    <w:rsid w:val="00AC7737"/>
    <w:rsid w:val="00B60129"/>
    <w:rsid w:val="00B87311"/>
    <w:rsid w:val="00C24D67"/>
    <w:rsid w:val="00CD33B9"/>
    <w:rsid w:val="00D722FB"/>
    <w:rsid w:val="00E26BE8"/>
    <w:rsid w:val="00E94B40"/>
    <w:rsid w:val="00F06E67"/>
    <w:rsid w:val="00FC2840"/>
    <w:rsid w:val="00FD281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1FAE"/>
  <w15:chartTrackingRefBased/>
  <w15:docId w15:val="{A5CCC815-E1D4-234D-ACB7-32386B411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character" w:default="1" w:styleId="DefaultParagraphFont">
    <w:name w:val="Default Paragraph Font"/>
    <w:uiPriority w:val="1"/>
    <w:semiHidden/>
    <w:unhideWhenUsed/>
  </w:style>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75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75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75F5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75F5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75F5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75F5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75F5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75F5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75F5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75F5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75F5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75F5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75F5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75F5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75F5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75F5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75F5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75F56"/>
    <w:rPr>
      <w:rFonts w:eastAsiaTheme="majorEastAsia" w:cstheme="majorBidi"/>
      <w:color w:val="272727" w:themeColor="text1" w:themeTint="D8"/>
    </w:rPr>
  </w:style>
  <w:style w:type="paragraph" w:styleId="Tytu">
    <w:name w:val="Title"/>
    <w:basedOn w:val="Normalny"/>
    <w:next w:val="Normalny"/>
    <w:link w:val="TytuZnak"/>
    <w:uiPriority w:val="10"/>
    <w:qFormat/>
    <w:rsid w:val="00675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75F5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75F5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75F5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75F56"/>
    <w:pPr>
      <w:spacing w:before="160"/>
      <w:jc w:val="center"/>
    </w:pPr>
    <w:rPr>
      <w:i/>
      <w:iCs/>
      <w:color w:val="404040" w:themeColor="text1" w:themeTint="BF"/>
    </w:rPr>
  </w:style>
  <w:style w:type="character" w:customStyle="1" w:styleId="CytatZnak">
    <w:name w:val="Cytat Znak"/>
    <w:basedOn w:val="Domylnaczcionkaakapitu"/>
    <w:link w:val="Cytat"/>
    <w:uiPriority w:val="29"/>
    <w:rsid w:val="00675F56"/>
    <w:rPr>
      <w:i/>
      <w:iCs/>
      <w:color w:val="404040" w:themeColor="text1" w:themeTint="BF"/>
    </w:rPr>
  </w:style>
  <w:style w:type="paragraph" w:styleId="Akapitzlist">
    <w:name w:val="List Paragraph"/>
    <w:basedOn w:val="Normalny"/>
    <w:uiPriority w:val="34"/>
    <w:qFormat/>
    <w:rsid w:val="00675F56"/>
    <w:pPr>
      <w:ind w:left="720"/>
      <w:contextualSpacing/>
    </w:pPr>
  </w:style>
  <w:style w:type="character" w:styleId="Wyrnienieintensywne">
    <w:name w:val="Intense Emphasis"/>
    <w:basedOn w:val="Domylnaczcionkaakapitu"/>
    <w:uiPriority w:val="21"/>
    <w:qFormat/>
    <w:rsid w:val="00675F56"/>
    <w:rPr>
      <w:i/>
      <w:iCs/>
      <w:color w:val="0F4761" w:themeColor="accent1" w:themeShade="BF"/>
    </w:rPr>
  </w:style>
  <w:style w:type="paragraph" w:styleId="Cytatintensywny">
    <w:name w:val="Intense Quote"/>
    <w:basedOn w:val="Normalny"/>
    <w:next w:val="Normalny"/>
    <w:link w:val="CytatintensywnyZnak"/>
    <w:uiPriority w:val="30"/>
    <w:qFormat/>
    <w:rsid w:val="00675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75F56"/>
    <w:rPr>
      <w:i/>
      <w:iCs/>
      <w:color w:val="0F4761" w:themeColor="accent1" w:themeShade="BF"/>
    </w:rPr>
  </w:style>
  <w:style w:type="character" w:styleId="Odwoanieintensywne">
    <w:name w:val="Intense Reference"/>
    <w:basedOn w:val="Domylnaczcionkaakapitu"/>
    <w:uiPriority w:val="32"/>
    <w:qFormat/>
    <w:rsid w:val="00675F56"/>
    <w:rPr>
      <w:b/>
      <w:bCs/>
      <w:smallCaps/>
      <w:color w:val="0F4761" w:themeColor="accent1" w:themeShade="BF"/>
      <w:spacing w:val="5"/>
    </w:rPr>
  </w:style>
  <w:style w:type="character" w:styleId="Odwoaniedokomentarza">
    <w:name w:val="annotation reference"/>
    <w:basedOn w:val="Domylnaczcionkaakapitu"/>
    <w:uiPriority w:val="99"/>
    <w:semiHidden/>
    <w:unhideWhenUsed/>
    <w:rsid w:val="0010499C"/>
    <w:rPr>
      <w:sz w:val="16"/>
      <w:szCs w:val="16"/>
    </w:rPr>
  </w:style>
  <w:style w:type="paragraph" w:styleId="Tekstkomentarza">
    <w:name w:val="annotation text"/>
    <w:basedOn w:val="Normalny"/>
    <w:link w:val="TekstkomentarzaZnak"/>
    <w:uiPriority w:val="99"/>
    <w:semiHidden/>
    <w:unhideWhenUsed/>
    <w:rsid w:val="0010499C"/>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0499C"/>
    <w:rPr>
      <w:sz w:val="20"/>
      <w:szCs w:val="20"/>
    </w:rPr>
  </w:style>
  <w:style w:type="paragraph" w:styleId="Tematkomentarza">
    <w:name w:val="annotation subject"/>
    <w:basedOn w:val="Tekstkomentarza"/>
    <w:next w:val="Tekstkomentarza"/>
    <w:link w:val="TematkomentarzaZnak"/>
    <w:uiPriority w:val="99"/>
    <w:semiHidden/>
    <w:unhideWhenUsed/>
    <w:rsid w:val="0010499C"/>
    <w:rPr>
      <w:b/>
      <w:bCs/>
    </w:rPr>
  </w:style>
  <w:style w:type="character" w:customStyle="1" w:styleId="TematkomentarzaZnak">
    <w:name w:val="Temat komentarza Znak"/>
    <w:basedOn w:val="TekstkomentarzaZnak"/>
    <w:link w:val="Tematkomentarza"/>
    <w:uiPriority w:val="99"/>
    <w:semiHidden/>
    <w:rsid w:val="0010499C"/>
    <w:rPr>
      <w:b/>
      <w:bCs/>
      <w:sz w:val="20"/>
      <w:szCs w:val="20"/>
    </w:rPr>
  </w:style>
  <w:style w:type="paragraph" w:styleId="Poprawka">
    <w:name w:val="Revision"/>
    <w:hidden/>
    <w:uiPriority w:val="99"/>
    <w:semiHidden/>
    <w:rsid w:val="0010499C"/>
    <w:pPr>
      <w:spacing w:after="0" w:line="240" w:lineRule="auto"/>
    </w:pPr>
  </w:style>
  <w:style w:type="paragraph" w:styleId="Heading1">
    <w:name w:val="heading 1"/>
    <w:next w:val="Normal"/>
    <w:link w:val="Heading1Char"/>
    <w:uiPriority w:val="9"/>
    <w:qFormat/>
    <w:pPr>
      <w:keepNext/>
      <w:keepLines/>
      <w:spacing w:after="448" w:line="275"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458" w:line="265" w:lineRule="auto"/>
      <w:ind w:left="10" w:hanging="10"/>
      <w:outlineLvl w:val="1"/>
    </w:pPr>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92375">
      <w:bodyDiv w:val="1"/>
      <w:marLeft w:val="0"/>
      <w:marRight w:val="0"/>
      <w:marTop w:val="0"/>
      <w:marBottom w:val="0"/>
      <w:divBdr>
        <w:top w:val="none" w:sz="0" w:space="0" w:color="auto"/>
        <w:left w:val="none" w:sz="0" w:space="0" w:color="auto"/>
        <w:bottom w:val="none" w:sz="0" w:space="0" w:color="auto"/>
        <w:right w:val="none" w:sz="0" w:space="0" w:color="auto"/>
      </w:divBdr>
      <w:divsChild>
        <w:div w:id="225268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36540">
      <w:bodyDiv w:val="1"/>
      <w:marLeft w:val="0"/>
      <w:marRight w:val="0"/>
      <w:marTop w:val="0"/>
      <w:marBottom w:val="0"/>
      <w:divBdr>
        <w:top w:val="none" w:sz="0" w:space="0" w:color="auto"/>
        <w:left w:val="none" w:sz="0" w:space="0" w:color="auto"/>
        <w:bottom w:val="none" w:sz="0" w:space="0" w:color="auto"/>
        <w:right w:val="none" w:sz="0" w:space="0" w:color="auto"/>
      </w:divBdr>
      <w:divsChild>
        <w:div w:id="847596373">
          <w:marLeft w:val="0"/>
          <w:marRight w:val="0"/>
          <w:marTop w:val="0"/>
          <w:marBottom w:val="0"/>
          <w:divBdr>
            <w:top w:val="none" w:sz="0" w:space="0" w:color="auto"/>
            <w:left w:val="none" w:sz="0" w:space="0" w:color="auto"/>
            <w:bottom w:val="none" w:sz="0" w:space="0" w:color="auto"/>
            <w:right w:val="none" w:sz="0" w:space="0" w:color="auto"/>
          </w:divBdr>
          <w:divsChild>
            <w:div w:id="1523592537">
              <w:marLeft w:val="0"/>
              <w:marRight w:val="0"/>
              <w:marTop w:val="0"/>
              <w:marBottom w:val="0"/>
              <w:divBdr>
                <w:top w:val="none" w:sz="0" w:space="0" w:color="auto"/>
                <w:left w:val="none" w:sz="0" w:space="0" w:color="auto"/>
                <w:bottom w:val="none" w:sz="0" w:space="0" w:color="auto"/>
                <w:right w:val="none" w:sz="0" w:space="0" w:color="auto"/>
              </w:divBdr>
              <w:divsChild>
                <w:div w:id="12562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89293">
      <w:bodyDiv w:val="1"/>
      <w:marLeft w:val="0"/>
      <w:marRight w:val="0"/>
      <w:marTop w:val="0"/>
      <w:marBottom w:val="0"/>
      <w:divBdr>
        <w:top w:val="none" w:sz="0" w:space="0" w:color="auto"/>
        <w:left w:val="none" w:sz="0" w:space="0" w:color="auto"/>
        <w:bottom w:val="none" w:sz="0" w:space="0" w:color="auto"/>
        <w:right w:val="none" w:sz="0" w:space="0" w:color="auto"/>
      </w:divBdr>
      <w:divsChild>
        <w:div w:id="1060859390">
          <w:marLeft w:val="0"/>
          <w:marRight w:val="0"/>
          <w:marTop w:val="0"/>
          <w:marBottom w:val="0"/>
          <w:divBdr>
            <w:top w:val="none" w:sz="0" w:space="0" w:color="auto"/>
            <w:left w:val="none" w:sz="0" w:space="0" w:color="auto"/>
            <w:bottom w:val="none" w:sz="0" w:space="0" w:color="auto"/>
            <w:right w:val="none" w:sz="0" w:space="0" w:color="auto"/>
          </w:divBdr>
          <w:divsChild>
            <w:div w:id="1174953041">
              <w:marLeft w:val="0"/>
              <w:marRight w:val="0"/>
              <w:marTop w:val="0"/>
              <w:marBottom w:val="0"/>
              <w:divBdr>
                <w:top w:val="none" w:sz="0" w:space="0" w:color="auto"/>
                <w:left w:val="none" w:sz="0" w:space="0" w:color="auto"/>
                <w:bottom w:val="none" w:sz="0" w:space="0" w:color="auto"/>
                <w:right w:val="none" w:sz="0" w:space="0" w:color="auto"/>
              </w:divBdr>
              <w:divsChild>
                <w:div w:id="1763064958">
                  <w:marLeft w:val="0"/>
                  <w:marRight w:val="0"/>
                  <w:marTop w:val="0"/>
                  <w:marBottom w:val="0"/>
                  <w:divBdr>
                    <w:top w:val="none" w:sz="0" w:space="0" w:color="auto"/>
                    <w:left w:val="none" w:sz="0" w:space="0" w:color="auto"/>
                    <w:bottom w:val="none" w:sz="0" w:space="0" w:color="auto"/>
                    <w:right w:val="none" w:sz="0" w:space="0" w:color="auto"/>
                  </w:divBdr>
                </w:div>
              </w:divsChild>
            </w:div>
            <w:div w:id="1643385258">
              <w:marLeft w:val="0"/>
              <w:marRight w:val="0"/>
              <w:marTop w:val="0"/>
              <w:marBottom w:val="0"/>
              <w:divBdr>
                <w:top w:val="none" w:sz="0" w:space="0" w:color="auto"/>
                <w:left w:val="none" w:sz="0" w:space="0" w:color="auto"/>
                <w:bottom w:val="none" w:sz="0" w:space="0" w:color="auto"/>
                <w:right w:val="none" w:sz="0" w:space="0" w:color="auto"/>
              </w:divBdr>
              <w:divsChild>
                <w:div w:id="7085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713">
          <w:marLeft w:val="0"/>
          <w:marRight w:val="0"/>
          <w:marTop w:val="0"/>
          <w:marBottom w:val="0"/>
          <w:divBdr>
            <w:top w:val="none" w:sz="0" w:space="0" w:color="auto"/>
            <w:left w:val="none" w:sz="0" w:space="0" w:color="auto"/>
            <w:bottom w:val="none" w:sz="0" w:space="0" w:color="auto"/>
            <w:right w:val="none" w:sz="0" w:space="0" w:color="auto"/>
          </w:divBdr>
          <w:divsChild>
            <w:div w:id="1471095154">
              <w:marLeft w:val="0"/>
              <w:marRight w:val="0"/>
              <w:marTop w:val="0"/>
              <w:marBottom w:val="0"/>
              <w:divBdr>
                <w:top w:val="none" w:sz="0" w:space="0" w:color="auto"/>
                <w:left w:val="none" w:sz="0" w:space="0" w:color="auto"/>
                <w:bottom w:val="none" w:sz="0" w:space="0" w:color="auto"/>
                <w:right w:val="none" w:sz="0" w:space="0" w:color="auto"/>
              </w:divBdr>
              <w:divsChild>
                <w:div w:id="1575582828">
                  <w:marLeft w:val="0"/>
                  <w:marRight w:val="0"/>
                  <w:marTop w:val="0"/>
                  <w:marBottom w:val="0"/>
                  <w:divBdr>
                    <w:top w:val="none" w:sz="0" w:space="0" w:color="auto"/>
                    <w:left w:val="none" w:sz="0" w:space="0" w:color="auto"/>
                    <w:bottom w:val="none" w:sz="0" w:space="0" w:color="auto"/>
                    <w:right w:val="none" w:sz="0" w:space="0" w:color="auto"/>
                  </w:divBdr>
                </w:div>
              </w:divsChild>
            </w:div>
            <w:div w:id="222836837">
              <w:marLeft w:val="0"/>
              <w:marRight w:val="0"/>
              <w:marTop w:val="0"/>
              <w:marBottom w:val="0"/>
              <w:divBdr>
                <w:top w:val="none" w:sz="0" w:space="0" w:color="auto"/>
                <w:left w:val="none" w:sz="0" w:space="0" w:color="auto"/>
                <w:bottom w:val="none" w:sz="0" w:space="0" w:color="auto"/>
                <w:right w:val="none" w:sz="0" w:space="0" w:color="auto"/>
              </w:divBdr>
              <w:divsChild>
                <w:div w:id="3381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568">
          <w:marLeft w:val="0"/>
          <w:marRight w:val="0"/>
          <w:marTop w:val="0"/>
          <w:marBottom w:val="0"/>
          <w:divBdr>
            <w:top w:val="none" w:sz="0" w:space="0" w:color="auto"/>
            <w:left w:val="none" w:sz="0" w:space="0" w:color="auto"/>
            <w:bottom w:val="none" w:sz="0" w:space="0" w:color="auto"/>
            <w:right w:val="none" w:sz="0" w:space="0" w:color="auto"/>
          </w:divBdr>
          <w:divsChild>
            <w:div w:id="1429499234">
              <w:marLeft w:val="0"/>
              <w:marRight w:val="0"/>
              <w:marTop w:val="0"/>
              <w:marBottom w:val="0"/>
              <w:divBdr>
                <w:top w:val="none" w:sz="0" w:space="0" w:color="auto"/>
                <w:left w:val="none" w:sz="0" w:space="0" w:color="auto"/>
                <w:bottom w:val="none" w:sz="0" w:space="0" w:color="auto"/>
                <w:right w:val="none" w:sz="0" w:space="0" w:color="auto"/>
              </w:divBdr>
              <w:divsChild>
                <w:div w:id="421220346">
                  <w:marLeft w:val="0"/>
                  <w:marRight w:val="0"/>
                  <w:marTop w:val="0"/>
                  <w:marBottom w:val="0"/>
                  <w:divBdr>
                    <w:top w:val="none" w:sz="0" w:space="0" w:color="auto"/>
                    <w:left w:val="none" w:sz="0" w:space="0" w:color="auto"/>
                    <w:bottom w:val="none" w:sz="0" w:space="0" w:color="auto"/>
                    <w:right w:val="none" w:sz="0" w:space="0" w:color="auto"/>
                  </w:divBdr>
                </w:div>
              </w:divsChild>
            </w:div>
            <w:div w:id="785462210">
              <w:marLeft w:val="0"/>
              <w:marRight w:val="0"/>
              <w:marTop w:val="0"/>
              <w:marBottom w:val="0"/>
              <w:divBdr>
                <w:top w:val="none" w:sz="0" w:space="0" w:color="auto"/>
                <w:left w:val="none" w:sz="0" w:space="0" w:color="auto"/>
                <w:bottom w:val="none" w:sz="0" w:space="0" w:color="auto"/>
                <w:right w:val="none" w:sz="0" w:space="0" w:color="auto"/>
              </w:divBdr>
              <w:divsChild>
                <w:div w:id="17502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955">
          <w:marLeft w:val="0"/>
          <w:marRight w:val="0"/>
          <w:marTop w:val="0"/>
          <w:marBottom w:val="0"/>
          <w:divBdr>
            <w:top w:val="none" w:sz="0" w:space="0" w:color="auto"/>
            <w:left w:val="none" w:sz="0" w:space="0" w:color="auto"/>
            <w:bottom w:val="none" w:sz="0" w:space="0" w:color="auto"/>
            <w:right w:val="none" w:sz="0" w:space="0" w:color="auto"/>
          </w:divBdr>
          <w:divsChild>
            <w:div w:id="152725902">
              <w:marLeft w:val="0"/>
              <w:marRight w:val="0"/>
              <w:marTop w:val="0"/>
              <w:marBottom w:val="0"/>
              <w:divBdr>
                <w:top w:val="none" w:sz="0" w:space="0" w:color="auto"/>
                <w:left w:val="none" w:sz="0" w:space="0" w:color="auto"/>
                <w:bottom w:val="none" w:sz="0" w:space="0" w:color="auto"/>
                <w:right w:val="none" w:sz="0" w:space="0" w:color="auto"/>
              </w:divBdr>
              <w:divsChild>
                <w:div w:id="820002046">
                  <w:marLeft w:val="0"/>
                  <w:marRight w:val="0"/>
                  <w:marTop w:val="0"/>
                  <w:marBottom w:val="0"/>
                  <w:divBdr>
                    <w:top w:val="none" w:sz="0" w:space="0" w:color="auto"/>
                    <w:left w:val="none" w:sz="0" w:space="0" w:color="auto"/>
                    <w:bottom w:val="none" w:sz="0" w:space="0" w:color="auto"/>
                    <w:right w:val="none" w:sz="0" w:space="0" w:color="auto"/>
                  </w:divBdr>
                </w:div>
              </w:divsChild>
            </w:div>
            <w:div w:id="1700929695">
              <w:marLeft w:val="0"/>
              <w:marRight w:val="0"/>
              <w:marTop w:val="0"/>
              <w:marBottom w:val="0"/>
              <w:divBdr>
                <w:top w:val="none" w:sz="0" w:space="0" w:color="auto"/>
                <w:left w:val="none" w:sz="0" w:space="0" w:color="auto"/>
                <w:bottom w:val="none" w:sz="0" w:space="0" w:color="auto"/>
                <w:right w:val="none" w:sz="0" w:space="0" w:color="auto"/>
              </w:divBdr>
              <w:divsChild>
                <w:div w:id="3603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8255">
          <w:marLeft w:val="0"/>
          <w:marRight w:val="0"/>
          <w:marTop w:val="0"/>
          <w:marBottom w:val="0"/>
          <w:divBdr>
            <w:top w:val="none" w:sz="0" w:space="0" w:color="auto"/>
            <w:left w:val="none" w:sz="0" w:space="0" w:color="auto"/>
            <w:bottom w:val="none" w:sz="0" w:space="0" w:color="auto"/>
            <w:right w:val="none" w:sz="0" w:space="0" w:color="auto"/>
          </w:divBdr>
          <w:divsChild>
            <w:div w:id="2038968631">
              <w:marLeft w:val="0"/>
              <w:marRight w:val="0"/>
              <w:marTop w:val="0"/>
              <w:marBottom w:val="0"/>
              <w:divBdr>
                <w:top w:val="none" w:sz="0" w:space="0" w:color="auto"/>
                <w:left w:val="none" w:sz="0" w:space="0" w:color="auto"/>
                <w:bottom w:val="none" w:sz="0" w:space="0" w:color="auto"/>
                <w:right w:val="none" w:sz="0" w:space="0" w:color="auto"/>
              </w:divBdr>
              <w:divsChild>
                <w:div w:id="1552955846">
                  <w:marLeft w:val="0"/>
                  <w:marRight w:val="0"/>
                  <w:marTop w:val="0"/>
                  <w:marBottom w:val="0"/>
                  <w:divBdr>
                    <w:top w:val="none" w:sz="0" w:space="0" w:color="auto"/>
                    <w:left w:val="none" w:sz="0" w:space="0" w:color="auto"/>
                    <w:bottom w:val="none" w:sz="0" w:space="0" w:color="auto"/>
                    <w:right w:val="none" w:sz="0" w:space="0" w:color="auto"/>
                  </w:divBdr>
                </w:div>
              </w:divsChild>
            </w:div>
            <w:div w:id="868227954">
              <w:marLeft w:val="0"/>
              <w:marRight w:val="0"/>
              <w:marTop w:val="0"/>
              <w:marBottom w:val="0"/>
              <w:divBdr>
                <w:top w:val="none" w:sz="0" w:space="0" w:color="auto"/>
                <w:left w:val="none" w:sz="0" w:space="0" w:color="auto"/>
                <w:bottom w:val="none" w:sz="0" w:space="0" w:color="auto"/>
                <w:right w:val="none" w:sz="0" w:space="0" w:color="auto"/>
              </w:divBdr>
              <w:divsChild>
                <w:div w:id="3603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1215">
          <w:marLeft w:val="0"/>
          <w:marRight w:val="0"/>
          <w:marTop w:val="0"/>
          <w:marBottom w:val="0"/>
          <w:divBdr>
            <w:top w:val="none" w:sz="0" w:space="0" w:color="auto"/>
            <w:left w:val="none" w:sz="0" w:space="0" w:color="auto"/>
            <w:bottom w:val="none" w:sz="0" w:space="0" w:color="auto"/>
            <w:right w:val="none" w:sz="0" w:space="0" w:color="auto"/>
          </w:divBdr>
          <w:divsChild>
            <w:div w:id="1827012972">
              <w:marLeft w:val="0"/>
              <w:marRight w:val="0"/>
              <w:marTop w:val="0"/>
              <w:marBottom w:val="0"/>
              <w:divBdr>
                <w:top w:val="none" w:sz="0" w:space="0" w:color="auto"/>
                <w:left w:val="none" w:sz="0" w:space="0" w:color="auto"/>
                <w:bottom w:val="none" w:sz="0" w:space="0" w:color="auto"/>
                <w:right w:val="none" w:sz="0" w:space="0" w:color="auto"/>
              </w:divBdr>
              <w:divsChild>
                <w:div w:id="68158924">
                  <w:marLeft w:val="0"/>
                  <w:marRight w:val="0"/>
                  <w:marTop w:val="0"/>
                  <w:marBottom w:val="0"/>
                  <w:divBdr>
                    <w:top w:val="none" w:sz="0" w:space="0" w:color="auto"/>
                    <w:left w:val="none" w:sz="0" w:space="0" w:color="auto"/>
                    <w:bottom w:val="none" w:sz="0" w:space="0" w:color="auto"/>
                    <w:right w:val="none" w:sz="0" w:space="0" w:color="auto"/>
                  </w:divBdr>
                </w:div>
              </w:divsChild>
            </w:div>
            <w:div w:id="1309163358">
              <w:marLeft w:val="0"/>
              <w:marRight w:val="0"/>
              <w:marTop w:val="0"/>
              <w:marBottom w:val="0"/>
              <w:divBdr>
                <w:top w:val="none" w:sz="0" w:space="0" w:color="auto"/>
                <w:left w:val="none" w:sz="0" w:space="0" w:color="auto"/>
                <w:bottom w:val="none" w:sz="0" w:space="0" w:color="auto"/>
                <w:right w:val="none" w:sz="0" w:space="0" w:color="auto"/>
              </w:divBdr>
              <w:divsChild>
                <w:div w:id="4981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634">
          <w:marLeft w:val="0"/>
          <w:marRight w:val="0"/>
          <w:marTop w:val="0"/>
          <w:marBottom w:val="0"/>
          <w:divBdr>
            <w:top w:val="none" w:sz="0" w:space="0" w:color="auto"/>
            <w:left w:val="none" w:sz="0" w:space="0" w:color="auto"/>
            <w:bottom w:val="none" w:sz="0" w:space="0" w:color="auto"/>
            <w:right w:val="none" w:sz="0" w:space="0" w:color="auto"/>
          </w:divBdr>
          <w:divsChild>
            <w:div w:id="718407622">
              <w:marLeft w:val="0"/>
              <w:marRight w:val="0"/>
              <w:marTop w:val="0"/>
              <w:marBottom w:val="0"/>
              <w:divBdr>
                <w:top w:val="none" w:sz="0" w:space="0" w:color="auto"/>
                <w:left w:val="none" w:sz="0" w:space="0" w:color="auto"/>
                <w:bottom w:val="none" w:sz="0" w:space="0" w:color="auto"/>
                <w:right w:val="none" w:sz="0" w:space="0" w:color="auto"/>
              </w:divBdr>
              <w:divsChild>
                <w:div w:id="2559688">
                  <w:marLeft w:val="0"/>
                  <w:marRight w:val="0"/>
                  <w:marTop w:val="0"/>
                  <w:marBottom w:val="0"/>
                  <w:divBdr>
                    <w:top w:val="none" w:sz="0" w:space="0" w:color="auto"/>
                    <w:left w:val="none" w:sz="0" w:space="0" w:color="auto"/>
                    <w:bottom w:val="none" w:sz="0" w:space="0" w:color="auto"/>
                    <w:right w:val="none" w:sz="0" w:space="0" w:color="auto"/>
                  </w:divBdr>
                </w:div>
              </w:divsChild>
            </w:div>
            <w:div w:id="1188715373">
              <w:marLeft w:val="0"/>
              <w:marRight w:val="0"/>
              <w:marTop w:val="0"/>
              <w:marBottom w:val="0"/>
              <w:divBdr>
                <w:top w:val="none" w:sz="0" w:space="0" w:color="auto"/>
                <w:left w:val="none" w:sz="0" w:space="0" w:color="auto"/>
                <w:bottom w:val="none" w:sz="0" w:space="0" w:color="auto"/>
                <w:right w:val="none" w:sz="0" w:space="0" w:color="auto"/>
              </w:divBdr>
              <w:divsChild>
                <w:div w:id="13697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9442">
          <w:marLeft w:val="0"/>
          <w:marRight w:val="0"/>
          <w:marTop w:val="0"/>
          <w:marBottom w:val="0"/>
          <w:divBdr>
            <w:top w:val="none" w:sz="0" w:space="0" w:color="auto"/>
            <w:left w:val="none" w:sz="0" w:space="0" w:color="auto"/>
            <w:bottom w:val="none" w:sz="0" w:space="0" w:color="auto"/>
            <w:right w:val="none" w:sz="0" w:space="0" w:color="auto"/>
          </w:divBdr>
          <w:divsChild>
            <w:div w:id="1719861534">
              <w:marLeft w:val="0"/>
              <w:marRight w:val="0"/>
              <w:marTop w:val="0"/>
              <w:marBottom w:val="0"/>
              <w:divBdr>
                <w:top w:val="none" w:sz="0" w:space="0" w:color="auto"/>
                <w:left w:val="none" w:sz="0" w:space="0" w:color="auto"/>
                <w:bottom w:val="none" w:sz="0" w:space="0" w:color="auto"/>
                <w:right w:val="none" w:sz="0" w:space="0" w:color="auto"/>
              </w:divBdr>
              <w:divsChild>
                <w:div w:id="2025981938">
                  <w:marLeft w:val="0"/>
                  <w:marRight w:val="0"/>
                  <w:marTop w:val="0"/>
                  <w:marBottom w:val="0"/>
                  <w:divBdr>
                    <w:top w:val="none" w:sz="0" w:space="0" w:color="auto"/>
                    <w:left w:val="none" w:sz="0" w:space="0" w:color="auto"/>
                    <w:bottom w:val="none" w:sz="0" w:space="0" w:color="auto"/>
                    <w:right w:val="none" w:sz="0" w:space="0" w:color="auto"/>
                  </w:divBdr>
                </w:div>
              </w:divsChild>
            </w:div>
            <w:div w:id="1640917749">
              <w:marLeft w:val="0"/>
              <w:marRight w:val="0"/>
              <w:marTop w:val="0"/>
              <w:marBottom w:val="0"/>
              <w:divBdr>
                <w:top w:val="none" w:sz="0" w:space="0" w:color="auto"/>
                <w:left w:val="none" w:sz="0" w:space="0" w:color="auto"/>
                <w:bottom w:val="none" w:sz="0" w:space="0" w:color="auto"/>
                <w:right w:val="none" w:sz="0" w:space="0" w:color="auto"/>
              </w:divBdr>
              <w:divsChild>
                <w:div w:id="14754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93405">
          <w:marLeft w:val="0"/>
          <w:marRight w:val="0"/>
          <w:marTop w:val="0"/>
          <w:marBottom w:val="0"/>
          <w:divBdr>
            <w:top w:val="none" w:sz="0" w:space="0" w:color="auto"/>
            <w:left w:val="none" w:sz="0" w:space="0" w:color="auto"/>
            <w:bottom w:val="none" w:sz="0" w:space="0" w:color="auto"/>
            <w:right w:val="none" w:sz="0" w:space="0" w:color="auto"/>
          </w:divBdr>
          <w:divsChild>
            <w:div w:id="703988218">
              <w:marLeft w:val="0"/>
              <w:marRight w:val="0"/>
              <w:marTop w:val="0"/>
              <w:marBottom w:val="0"/>
              <w:divBdr>
                <w:top w:val="none" w:sz="0" w:space="0" w:color="auto"/>
                <w:left w:val="none" w:sz="0" w:space="0" w:color="auto"/>
                <w:bottom w:val="none" w:sz="0" w:space="0" w:color="auto"/>
                <w:right w:val="none" w:sz="0" w:space="0" w:color="auto"/>
              </w:divBdr>
              <w:divsChild>
                <w:div w:id="1017347385">
                  <w:marLeft w:val="0"/>
                  <w:marRight w:val="0"/>
                  <w:marTop w:val="0"/>
                  <w:marBottom w:val="0"/>
                  <w:divBdr>
                    <w:top w:val="none" w:sz="0" w:space="0" w:color="auto"/>
                    <w:left w:val="none" w:sz="0" w:space="0" w:color="auto"/>
                    <w:bottom w:val="none" w:sz="0" w:space="0" w:color="auto"/>
                    <w:right w:val="none" w:sz="0" w:space="0" w:color="auto"/>
                  </w:divBdr>
                </w:div>
              </w:divsChild>
            </w:div>
            <w:div w:id="107892694">
              <w:marLeft w:val="0"/>
              <w:marRight w:val="0"/>
              <w:marTop w:val="0"/>
              <w:marBottom w:val="0"/>
              <w:divBdr>
                <w:top w:val="none" w:sz="0" w:space="0" w:color="auto"/>
                <w:left w:val="none" w:sz="0" w:space="0" w:color="auto"/>
                <w:bottom w:val="none" w:sz="0" w:space="0" w:color="auto"/>
                <w:right w:val="none" w:sz="0" w:space="0" w:color="auto"/>
              </w:divBdr>
              <w:divsChild>
                <w:div w:id="1787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91115">
          <w:marLeft w:val="0"/>
          <w:marRight w:val="0"/>
          <w:marTop w:val="0"/>
          <w:marBottom w:val="0"/>
          <w:divBdr>
            <w:top w:val="none" w:sz="0" w:space="0" w:color="auto"/>
            <w:left w:val="none" w:sz="0" w:space="0" w:color="auto"/>
            <w:bottom w:val="none" w:sz="0" w:space="0" w:color="auto"/>
            <w:right w:val="none" w:sz="0" w:space="0" w:color="auto"/>
          </w:divBdr>
          <w:divsChild>
            <w:div w:id="1513644065">
              <w:marLeft w:val="0"/>
              <w:marRight w:val="0"/>
              <w:marTop w:val="0"/>
              <w:marBottom w:val="0"/>
              <w:divBdr>
                <w:top w:val="none" w:sz="0" w:space="0" w:color="auto"/>
                <w:left w:val="none" w:sz="0" w:space="0" w:color="auto"/>
                <w:bottom w:val="none" w:sz="0" w:space="0" w:color="auto"/>
                <w:right w:val="none" w:sz="0" w:space="0" w:color="auto"/>
              </w:divBdr>
              <w:divsChild>
                <w:div w:id="253511027">
                  <w:marLeft w:val="0"/>
                  <w:marRight w:val="0"/>
                  <w:marTop w:val="0"/>
                  <w:marBottom w:val="0"/>
                  <w:divBdr>
                    <w:top w:val="none" w:sz="0" w:space="0" w:color="auto"/>
                    <w:left w:val="none" w:sz="0" w:space="0" w:color="auto"/>
                    <w:bottom w:val="none" w:sz="0" w:space="0" w:color="auto"/>
                    <w:right w:val="none" w:sz="0" w:space="0" w:color="auto"/>
                  </w:divBdr>
                </w:div>
              </w:divsChild>
            </w:div>
            <w:div w:id="826290748">
              <w:marLeft w:val="0"/>
              <w:marRight w:val="0"/>
              <w:marTop w:val="0"/>
              <w:marBottom w:val="0"/>
              <w:divBdr>
                <w:top w:val="none" w:sz="0" w:space="0" w:color="auto"/>
                <w:left w:val="none" w:sz="0" w:space="0" w:color="auto"/>
                <w:bottom w:val="none" w:sz="0" w:space="0" w:color="auto"/>
                <w:right w:val="none" w:sz="0" w:space="0" w:color="auto"/>
              </w:divBdr>
              <w:divsChild>
                <w:div w:id="20725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4351">
          <w:marLeft w:val="0"/>
          <w:marRight w:val="0"/>
          <w:marTop w:val="0"/>
          <w:marBottom w:val="0"/>
          <w:divBdr>
            <w:top w:val="none" w:sz="0" w:space="0" w:color="auto"/>
            <w:left w:val="none" w:sz="0" w:space="0" w:color="auto"/>
            <w:bottom w:val="none" w:sz="0" w:space="0" w:color="auto"/>
            <w:right w:val="none" w:sz="0" w:space="0" w:color="auto"/>
          </w:divBdr>
          <w:divsChild>
            <w:div w:id="101536352">
              <w:marLeft w:val="0"/>
              <w:marRight w:val="0"/>
              <w:marTop w:val="0"/>
              <w:marBottom w:val="0"/>
              <w:divBdr>
                <w:top w:val="none" w:sz="0" w:space="0" w:color="auto"/>
                <w:left w:val="none" w:sz="0" w:space="0" w:color="auto"/>
                <w:bottom w:val="none" w:sz="0" w:space="0" w:color="auto"/>
                <w:right w:val="none" w:sz="0" w:space="0" w:color="auto"/>
              </w:divBdr>
              <w:divsChild>
                <w:div w:id="239096044">
                  <w:marLeft w:val="0"/>
                  <w:marRight w:val="0"/>
                  <w:marTop w:val="0"/>
                  <w:marBottom w:val="0"/>
                  <w:divBdr>
                    <w:top w:val="none" w:sz="0" w:space="0" w:color="auto"/>
                    <w:left w:val="none" w:sz="0" w:space="0" w:color="auto"/>
                    <w:bottom w:val="none" w:sz="0" w:space="0" w:color="auto"/>
                    <w:right w:val="none" w:sz="0" w:space="0" w:color="auto"/>
                  </w:divBdr>
                </w:div>
              </w:divsChild>
            </w:div>
            <w:div w:id="14380319">
              <w:marLeft w:val="0"/>
              <w:marRight w:val="0"/>
              <w:marTop w:val="0"/>
              <w:marBottom w:val="0"/>
              <w:divBdr>
                <w:top w:val="none" w:sz="0" w:space="0" w:color="auto"/>
                <w:left w:val="none" w:sz="0" w:space="0" w:color="auto"/>
                <w:bottom w:val="none" w:sz="0" w:space="0" w:color="auto"/>
                <w:right w:val="none" w:sz="0" w:space="0" w:color="auto"/>
              </w:divBdr>
              <w:divsChild>
                <w:div w:id="123419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3549">
          <w:marLeft w:val="0"/>
          <w:marRight w:val="0"/>
          <w:marTop w:val="0"/>
          <w:marBottom w:val="0"/>
          <w:divBdr>
            <w:top w:val="none" w:sz="0" w:space="0" w:color="auto"/>
            <w:left w:val="none" w:sz="0" w:space="0" w:color="auto"/>
            <w:bottom w:val="none" w:sz="0" w:space="0" w:color="auto"/>
            <w:right w:val="none" w:sz="0" w:space="0" w:color="auto"/>
          </w:divBdr>
          <w:divsChild>
            <w:div w:id="567769837">
              <w:marLeft w:val="0"/>
              <w:marRight w:val="0"/>
              <w:marTop w:val="0"/>
              <w:marBottom w:val="0"/>
              <w:divBdr>
                <w:top w:val="none" w:sz="0" w:space="0" w:color="auto"/>
                <w:left w:val="none" w:sz="0" w:space="0" w:color="auto"/>
                <w:bottom w:val="none" w:sz="0" w:space="0" w:color="auto"/>
                <w:right w:val="none" w:sz="0" w:space="0" w:color="auto"/>
              </w:divBdr>
              <w:divsChild>
                <w:div w:id="861169632">
                  <w:marLeft w:val="0"/>
                  <w:marRight w:val="0"/>
                  <w:marTop w:val="0"/>
                  <w:marBottom w:val="0"/>
                  <w:divBdr>
                    <w:top w:val="none" w:sz="0" w:space="0" w:color="auto"/>
                    <w:left w:val="none" w:sz="0" w:space="0" w:color="auto"/>
                    <w:bottom w:val="none" w:sz="0" w:space="0" w:color="auto"/>
                    <w:right w:val="none" w:sz="0" w:space="0" w:color="auto"/>
                  </w:divBdr>
                </w:div>
              </w:divsChild>
            </w:div>
            <w:div w:id="692656837">
              <w:marLeft w:val="0"/>
              <w:marRight w:val="0"/>
              <w:marTop w:val="0"/>
              <w:marBottom w:val="0"/>
              <w:divBdr>
                <w:top w:val="none" w:sz="0" w:space="0" w:color="auto"/>
                <w:left w:val="none" w:sz="0" w:space="0" w:color="auto"/>
                <w:bottom w:val="none" w:sz="0" w:space="0" w:color="auto"/>
                <w:right w:val="none" w:sz="0" w:space="0" w:color="auto"/>
              </w:divBdr>
              <w:divsChild>
                <w:div w:id="20978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9252">
          <w:marLeft w:val="0"/>
          <w:marRight w:val="0"/>
          <w:marTop w:val="0"/>
          <w:marBottom w:val="0"/>
          <w:divBdr>
            <w:top w:val="none" w:sz="0" w:space="0" w:color="auto"/>
            <w:left w:val="none" w:sz="0" w:space="0" w:color="auto"/>
            <w:bottom w:val="none" w:sz="0" w:space="0" w:color="auto"/>
            <w:right w:val="none" w:sz="0" w:space="0" w:color="auto"/>
          </w:divBdr>
          <w:divsChild>
            <w:div w:id="601496721">
              <w:marLeft w:val="0"/>
              <w:marRight w:val="0"/>
              <w:marTop w:val="0"/>
              <w:marBottom w:val="0"/>
              <w:divBdr>
                <w:top w:val="none" w:sz="0" w:space="0" w:color="auto"/>
                <w:left w:val="none" w:sz="0" w:space="0" w:color="auto"/>
                <w:bottom w:val="none" w:sz="0" w:space="0" w:color="auto"/>
                <w:right w:val="none" w:sz="0" w:space="0" w:color="auto"/>
              </w:divBdr>
              <w:divsChild>
                <w:div w:id="1713462206">
                  <w:marLeft w:val="0"/>
                  <w:marRight w:val="0"/>
                  <w:marTop w:val="0"/>
                  <w:marBottom w:val="0"/>
                  <w:divBdr>
                    <w:top w:val="none" w:sz="0" w:space="0" w:color="auto"/>
                    <w:left w:val="none" w:sz="0" w:space="0" w:color="auto"/>
                    <w:bottom w:val="none" w:sz="0" w:space="0" w:color="auto"/>
                    <w:right w:val="none" w:sz="0" w:space="0" w:color="auto"/>
                  </w:divBdr>
                </w:div>
              </w:divsChild>
            </w:div>
            <w:div w:id="1898738618">
              <w:marLeft w:val="0"/>
              <w:marRight w:val="0"/>
              <w:marTop w:val="0"/>
              <w:marBottom w:val="0"/>
              <w:divBdr>
                <w:top w:val="none" w:sz="0" w:space="0" w:color="auto"/>
                <w:left w:val="none" w:sz="0" w:space="0" w:color="auto"/>
                <w:bottom w:val="none" w:sz="0" w:space="0" w:color="auto"/>
                <w:right w:val="none" w:sz="0" w:space="0" w:color="auto"/>
              </w:divBdr>
              <w:divsChild>
                <w:div w:id="18421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9842">
          <w:marLeft w:val="0"/>
          <w:marRight w:val="0"/>
          <w:marTop w:val="0"/>
          <w:marBottom w:val="0"/>
          <w:divBdr>
            <w:top w:val="none" w:sz="0" w:space="0" w:color="auto"/>
            <w:left w:val="none" w:sz="0" w:space="0" w:color="auto"/>
            <w:bottom w:val="none" w:sz="0" w:space="0" w:color="auto"/>
            <w:right w:val="none" w:sz="0" w:space="0" w:color="auto"/>
          </w:divBdr>
          <w:divsChild>
            <w:div w:id="201989935">
              <w:marLeft w:val="0"/>
              <w:marRight w:val="0"/>
              <w:marTop w:val="0"/>
              <w:marBottom w:val="0"/>
              <w:divBdr>
                <w:top w:val="none" w:sz="0" w:space="0" w:color="auto"/>
                <w:left w:val="none" w:sz="0" w:space="0" w:color="auto"/>
                <w:bottom w:val="none" w:sz="0" w:space="0" w:color="auto"/>
                <w:right w:val="none" w:sz="0" w:space="0" w:color="auto"/>
              </w:divBdr>
              <w:divsChild>
                <w:div w:id="882181481">
                  <w:marLeft w:val="0"/>
                  <w:marRight w:val="0"/>
                  <w:marTop w:val="0"/>
                  <w:marBottom w:val="0"/>
                  <w:divBdr>
                    <w:top w:val="none" w:sz="0" w:space="0" w:color="auto"/>
                    <w:left w:val="none" w:sz="0" w:space="0" w:color="auto"/>
                    <w:bottom w:val="none" w:sz="0" w:space="0" w:color="auto"/>
                    <w:right w:val="none" w:sz="0" w:space="0" w:color="auto"/>
                  </w:divBdr>
                </w:div>
              </w:divsChild>
            </w:div>
            <w:div w:id="724766318">
              <w:marLeft w:val="0"/>
              <w:marRight w:val="0"/>
              <w:marTop w:val="0"/>
              <w:marBottom w:val="0"/>
              <w:divBdr>
                <w:top w:val="none" w:sz="0" w:space="0" w:color="auto"/>
                <w:left w:val="none" w:sz="0" w:space="0" w:color="auto"/>
                <w:bottom w:val="none" w:sz="0" w:space="0" w:color="auto"/>
                <w:right w:val="none" w:sz="0" w:space="0" w:color="auto"/>
              </w:divBdr>
              <w:divsChild>
                <w:div w:id="18536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7570">
          <w:marLeft w:val="0"/>
          <w:marRight w:val="0"/>
          <w:marTop w:val="0"/>
          <w:marBottom w:val="0"/>
          <w:divBdr>
            <w:top w:val="none" w:sz="0" w:space="0" w:color="auto"/>
            <w:left w:val="none" w:sz="0" w:space="0" w:color="auto"/>
            <w:bottom w:val="none" w:sz="0" w:space="0" w:color="auto"/>
            <w:right w:val="none" w:sz="0" w:space="0" w:color="auto"/>
          </w:divBdr>
          <w:divsChild>
            <w:div w:id="1233656391">
              <w:marLeft w:val="0"/>
              <w:marRight w:val="0"/>
              <w:marTop w:val="0"/>
              <w:marBottom w:val="0"/>
              <w:divBdr>
                <w:top w:val="none" w:sz="0" w:space="0" w:color="auto"/>
                <w:left w:val="none" w:sz="0" w:space="0" w:color="auto"/>
                <w:bottom w:val="none" w:sz="0" w:space="0" w:color="auto"/>
                <w:right w:val="none" w:sz="0" w:space="0" w:color="auto"/>
              </w:divBdr>
              <w:divsChild>
                <w:div w:id="1772776404">
                  <w:marLeft w:val="0"/>
                  <w:marRight w:val="0"/>
                  <w:marTop w:val="0"/>
                  <w:marBottom w:val="0"/>
                  <w:divBdr>
                    <w:top w:val="none" w:sz="0" w:space="0" w:color="auto"/>
                    <w:left w:val="none" w:sz="0" w:space="0" w:color="auto"/>
                    <w:bottom w:val="none" w:sz="0" w:space="0" w:color="auto"/>
                    <w:right w:val="none" w:sz="0" w:space="0" w:color="auto"/>
                  </w:divBdr>
                </w:div>
              </w:divsChild>
            </w:div>
            <w:div w:id="550460370">
              <w:marLeft w:val="0"/>
              <w:marRight w:val="0"/>
              <w:marTop w:val="0"/>
              <w:marBottom w:val="0"/>
              <w:divBdr>
                <w:top w:val="none" w:sz="0" w:space="0" w:color="auto"/>
                <w:left w:val="none" w:sz="0" w:space="0" w:color="auto"/>
                <w:bottom w:val="none" w:sz="0" w:space="0" w:color="auto"/>
                <w:right w:val="none" w:sz="0" w:space="0" w:color="auto"/>
              </w:divBdr>
              <w:divsChild>
                <w:div w:id="5330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3476">
          <w:marLeft w:val="0"/>
          <w:marRight w:val="0"/>
          <w:marTop w:val="0"/>
          <w:marBottom w:val="0"/>
          <w:divBdr>
            <w:top w:val="none" w:sz="0" w:space="0" w:color="auto"/>
            <w:left w:val="none" w:sz="0" w:space="0" w:color="auto"/>
            <w:bottom w:val="none" w:sz="0" w:space="0" w:color="auto"/>
            <w:right w:val="none" w:sz="0" w:space="0" w:color="auto"/>
          </w:divBdr>
          <w:divsChild>
            <w:div w:id="771702134">
              <w:marLeft w:val="0"/>
              <w:marRight w:val="0"/>
              <w:marTop w:val="0"/>
              <w:marBottom w:val="0"/>
              <w:divBdr>
                <w:top w:val="none" w:sz="0" w:space="0" w:color="auto"/>
                <w:left w:val="none" w:sz="0" w:space="0" w:color="auto"/>
                <w:bottom w:val="none" w:sz="0" w:space="0" w:color="auto"/>
                <w:right w:val="none" w:sz="0" w:space="0" w:color="auto"/>
              </w:divBdr>
              <w:divsChild>
                <w:div w:id="1110664187">
                  <w:marLeft w:val="0"/>
                  <w:marRight w:val="0"/>
                  <w:marTop w:val="0"/>
                  <w:marBottom w:val="0"/>
                  <w:divBdr>
                    <w:top w:val="none" w:sz="0" w:space="0" w:color="auto"/>
                    <w:left w:val="none" w:sz="0" w:space="0" w:color="auto"/>
                    <w:bottom w:val="none" w:sz="0" w:space="0" w:color="auto"/>
                    <w:right w:val="none" w:sz="0" w:space="0" w:color="auto"/>
                  </w:divBdr>
                </w:div>
              </w:divsChild>
            </w:div>
            <w:div w:id="780489697">
              <w:marLeft w:val="0"/>
              <w:marRight w:val="0"/>
              <w:marTop w:val="0"/>
              <w:marBottom w:val="0"/>
              <w:divBdr>
                <w:top w:val="none" w:sz="0" w:space="0" w:color="auto"/>
                <w:left w:val="none" w:sz="0" w:space="0" w:color="auto"/>
                <w:bottom w:val="none" w:sz="0" w:space="0" w:color="auto"/>
                <w:right w:val="none" w:sz="0" w:space="0" w:color="auto"/>
              </w:divBdr>
              <w:divsChild>
                <w:div w:id="19496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028">
          <w:marLeft w:val="0"/>
          <w:marRight w:val="0"/>
          <w:marTop w:val="0"/>
          <w:marBottom w:val="0"/>
          <w:divBdr>
            <w:top w:val="none" w:sz="0" w:space="0" w:color="auto"/>
            <w:left w:val="none" w:sz="0" w:space="0" w:color="auto"/>
            <w:bottom w:val="none" w:sz="0" w:space="0" w:color="auto"/>
            <w:right w:val="none" w:sz="0" w:space="0" w:color="auto"/>
          </w:divBdr>
          <w:divsChild>
            <w:div w:id="22873423">
              <w:marLeft w:val="0"/>
              <w:marRight w:val="0"/>
              <w:marTop w:val="0"/>
              <w:marBottom w:val="0"/>
              <w:divBdr>
                <w:top w:val="none" w:sz="0" w:space="0" w:color="auto"/>
                <w:left w:val="none" w:sz="0" w:space="0" w:color="auto"/>
                <w:bottom w:val="none" w:sz="0" w:space="0" w:color="auto"/>
                <w:right w:val="none" w:sz="0" w:space="0" w:color="auto"/>
              </w:divBdr>
              <w:divsChild>
                <w:div w:id="830562274">
                  <w:marLeft w:val="0"/>
                  <w:marRight w:val="0"/>
                  <w:marTop w:val="0"/>
                  <w:marBottom w:val="0"/>
                  <w:divBdr>
                    <w:top w:val="none" w:sz="0" w:space="0" w:color="auto"/>
                    <w:left w:val="none" w:sz="0" w:space="0" w:color="auto"/>
                    <w:bottom w:val="none" w:sz="0" w:space="0" w:color="auto"/>
                    <w:right w:val="none" w:sz="0" w:space="0" w:color="auto"/>
                  </w:divBdr>
                </w:div>
              </w:divsChild>
            </w:div>
            <w:div w:id="158467648">
              <w:marLeft w:val="0"/>
              <w:marRight w:val="0"/>
              <w:marTop w:val="0"/>
              <w:marBottom w:val="0"/>
              <w:divBdr>
                <w:top w:val="none" w:sz="0" w:space="0" w:color="auto"/>
                <w:left w:val="none" w:sz="0" w:space="0" w:color="auto"/>
                <w:bottom w:val="none" w:sz="0" w:space="0" w:color="auto"/>
                <w:right w:val="none" w:sz="0" w:space="0" w:color="auto"/>
              </w:divBdr>
              <w:divsChild>
                <w:div w:id="10774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59114">
          <w:marLeft w:val="0"/>
          <w:marRight w:val="0"/>
          <w:marTop w:val="0"/>
          <w:marBottom w:val="0"/>
          <w:divBdr>
            <w:top w:val="none" w:sz="0" w:space="0" w:color="auto"/>
            <w:left w:val="none" w:sz="0" w:space="0" w:color="auto"/>
            <w:bottom w:val="none" w:sz="0" w:space="0" w:color="auto"/>
            <w:right w:val="none" w:sz="0" w:space="0" w:color="auto"/>
          </w:divBdr>
          <w:divsChild>
            <w:div w:id="1569263421">
              <w:marLeft w:val="0"/>
              <w:marRight w:val="0"/>
              <w:marTop w:val="0"/>
              <w:marBottom w:val="0"/>
              <w:divBdr>
                <w:top w:val="none" w:sz="0" w:space="0" w:color="auto"/>
                <w:left w:val="none" w:sz="0" w:space="0" w:color="auto"/>
                <w:bottom w:val="none" w:sz="0" w:space="0" w:color="auto"/>
                <w:right w:val="none" w:sz="0" w:space="0" w:color="auto"/>
              </w:divBdr>
              <w:divsChild>
                <w:div w:id="271909737">
                  <w:marLeft w:val="0"/>
                  <w:marRight w:val="0"/>
                  <w:marTop w:val="0"/>
                  <w:marBottom w:val="0"/>
                  <w:divBdr>
                    <w:top w:val="none" w:sz="0" w:space="0" w:color="auto"/>
                    <w:left w:val="none" w:sz="0" w:space="0" w:color="auto"/>
                    <w:bottom w:val="none" w:sz="0" w:space="0" w:color="auto"/>
                    <w:right w:val="none" w:sz="0" w:space="0" w:color="auto"/>
                  </w:divBdr>
                </w:div>
              </w:divsChild>
            </w:div>
            <w:div w:id="2106996674">
              <w:marLeft w:val="0"/>
              <w:marRight w:val="0"/>
              <w:marTop w:val="0"/>
              <w:marBottom w:val="0"/>
              <w:divBdr>
                <w:top w:val="none" w:sz="0" w:space="0" w:color="auto"/>
                <w:left w:val="none" w:sz="0" w:space="0" w:color="auto"/>
                <w:bottom w:val="none" w:sz="0" w:space="0" w:color="auto"/>
                <w:right w:val="none" w:sz="0" w:space="0" w:color="auto"/>
              </w:divBdr>
              <w:divsChild>
                <w:div w:id="5298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920">
          <w:marLeft w:val="0"/>
          <w:marRight w:val="0"/>
          <w:marTop w:val="0"/>
          <w:marBottom w:val="0"/>
          <w:divBdr>
            <w:top w:val="none" w:sz="0" w:space="0" w:color="auto"/>
            <w:left w:val="none" w:sz="0" w:space="0" w:color="auto"/>
            <w:bottom w:val="none" w:sz="0" w:space="0" w:color="auto"/>
            <w:right w:val="none" w:sz="0" w:space="0" w:color="auto"/>
          </w:divBdr>
          <w:divsChild>
            <w:div w:id="565998009">
              <w:marLeft w:val="0"/>
              <w:marRight w:val="0"/>
              <w:marTop w:val="0"/>
              <w:marBottom w:val="0"/>
              <w:divBdr>
                <w:top w:val="none" w:sz="0" w:space="0" w:color="auto"/>
                <w:left w:val="none" w:sz="0" w:space="0" w:color="auto"/>
                <w:bottom w:val="none" w:sz="0" w:space="0" w:color="auto"/>
                <w:right w:val="none" w:sz="0" w:space="0" w:color="auto"/>
              </w:divBdr>
              <w:divsChild>
                <w:div w:id="1002124126">
                  <w:marLeft w:val="0"/>
                  <w:marRight w:val="0"/>
                  <w:marTop w:val="0"/>
                  <w:marBottom w:val="0"/>
                  <w:divBdr>
                    <w:top w:val="none" w:sz="0" w:space="0" w:color="auto"/>
                    <w:left w:val="none" w:sz="0" w:space="0" w:color="auto"/>
                    <w:bottom w:val="none" w:sz="0" w:space="0" w:color="auto"/>
                    <w:right w:val="none" w:sz="0" w:space="0" w:color="auto"/>
                  </w:divBdr>
                </w:div>
              </w:divsChild>
            </w:div>
            <w:div w:id="580334022">
              <w:marLeft w:val="0"/>
              <w:marRight w:val="0"/>
              <w:marTop w:val="0"/>
              <w:marBottom w:val="0"/>
              <w:divBdr>
                <w:top w:val="none" w:sz="0" w:space="0" w:color="auto"/>
                <w:left w:val="none" w:sz="0" w:space="0" w:color="auto"/>
                <w:bottom w:val="none" w:sz="0" w:space="0" w:color="auto"/>
                <w:right w:val="none" w:sz="0" w:space="0" w:color="auto"/>
              </w:divBdr>
              <w:divsChild>
                <w:div w:id="19666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5097">
          <w:marLeft w:val="0"/>
          <w:marRight w:val="0"/>
          <w:marTop w:val="0"/>
          <w:marBottom w:val="0"/>
          <w:divBdr>
            <w:top w:val="none" w:sz="0" w:space="0" w:color="auto"/>
            <w:left w:val="none" w:sz="0" w:space="0" w:color="auto"/>
            <w:bottom w:val="none" w:sz="0" w:space="0" w:color="auto"/>
            <w:right w:val="none" w:sz="0" w:space="0" w:color="auto"/>
          </w:divBdr>
          <w:divsChild>
            <w:div w:id="119693892">
              <w:marLeft w:val="0"/>
              <w:marRight w:val="0"/>
              <w:marTop w:val="0"/>
              <w:marBottom w:val="0"/>
              <w:divBdr>
                <w:top w:val="none" w:sz="0" w:space="0" w:color="auto"/>
                <w:left w:val="none" w:sz="0" w:space="0" w:color="auto"/>
                <w:bottom w:val="none" w:sz="0" w:space="0" w:color="auto"/>
                <w:right w:val="none" w:sz="0" w:space="0" w:color="auto"/>
              </w:divBdr>
              <w:divsChild>
                <w:div w:id="54738662">
                  <w:marLeft w:val="0"/>
                  <w:marRight w:val="0"/>
                  <w:marTop w:val="0"/>
                  <w:marBottom w:val="0"/>
                  <w:divBdr>
                    <w:top w:val="none" w:sz="0" w:space="0" w:color="auto"/>
                    <w:left w:val="none" w:sz="0" w:space="0" w:color="auto"/>
                    <w:bottom w:val="none" w:sz="0" w:space="0" w:color="auto"/>
                    <w:right w:val="none" w:sz="0" w:space="0" w:color="auto"/>
                  </w:divBdr>
                </w:div>
              </w:divsChild>
            </w:div>
            <w:div w:id="1315917189">
              <w:marLeft w:val="0"/>
              <w:marRight w:val="0"/>
              <w:marTop w:val="0"/>
              <w:marBottom w:val="0"/>
              <w:divBdr>
                <w:top w:val="none" w:sz="0" w:space="0" w:color="auto"/>
                <w:left w:val="none" w:sz="0" w:space="0" w:color="auto"/>
                <w:bottom w:val="none" w:sz="0" w:space="0" w:color="auto"/>
                <w:right w:val="none" w:sz="0" w:space="0" w:color="auto"/>
              </w:divBdr>
              <w:divsChild>
                <w:div w:id="18463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2963">
          <w:marLeft w:val="0"/>
          <w:marRight w:val="0"/>
          <w:marTop w:val="0"/>
          <w:marBottom w:val="0"/>
          <w:divBdr>
            <w:top w:val="none" w:sz="0" w:space="0" w:color="auto"/>
            <w:left w:val="none" w:sz="0" w:space="0" w:color="auto"/>
            <w:bottom w:val="none" w:sz="0" w:space="0" w:color="auto"/>
            <w:right w:val="none" w:sz="0" w:space="0" w:color="auto"/>
          </w:divBdr>
          <w:divsChild>
            <w:div w:id="934627239">
              <w:marLeft w:val="0"/>
              <w:marRight w:val="0"/>
              <w:marTop w:val="0"/>
              <w:marBottom w:val="0"/>
              <w:divBdr>
                <w:top w:val="none" w:sz="0" w:space="0" w:color="auto"/>
                <w:left w:val="none" w:sz="0" w:space="0" w:color="auto"/>
                <w:bottom w:val="none" w:sz="0" w:space="0" w:color="auto"/>
                <w:right w:val="none" w:sz="0" w:space="0" w:color="auto"/>
              </w:divBdr>
              <w:divsChild>
                <w:div w:id="15258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98123">
      <w:bodyDiv w:val="1"/>
      <w:marLeft w:val="0"/>
      <w:marRight w:val="0"/>
      <w:marTop w:val="0"/>
      <w:marBottom w:val="0"/>
      <w:divBdr>
        <w:top w:val="none" w:sz="0" w:space="0" w:color="auto"/>
        <w:left w:val="none" w:sz="0" w:space="0" w:color="auto"/>
        <w:bottom w:val="none" w:sz="0" w:space="0" w:color="auto"/>
        <w:right w:val="none" w:sz="0" w:space="0" w:color="auto"/>
      </w:divBdr>
      <w:divsChild>
        <w:div w:id="1101995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65548">
      <w:bodyDiv w:val="1"/>
      <w:marLeft w:val="0"/>
      <w:marRight w:val="0"/>
      <w:marTop w:val="0"/>
      <w:marBottom w:val="0"/>
      <w:divBdr>
        <w:top w:val="none" w:sz="0" w:space="0" w:color="auto"/>
        <w:left w:val="none" w:sz="0" w:space="0" w:color="auto"/>
        <w:bottom w:val="none" w:sz="0" w:space="0" w:color="auto"/>
        <w:right w:val="none" w:sz="0" w:space="0" w:color="auto"/>
      </w:divBdr>
      <w:divsChild>
        <w:div w:id="672689408">
          <w:marLeft w:val="0"/>
          <w:marRight w:val="0"/>
          <w:marTop w:val="0"/>
          <w:marBottom w:val="0"/>
          <w:divBdr>
            <w:top w:val="none" w:sz="0" w:space="0" w:color="auto"/>
            <w:left w:val="none" w:sz="0" w:space="0" w:color="auto"/>
            <w:bottom w:val="none" w:sz="0" w:space="0" w:color="auto"/>
            <w:right w:val="none" w:sz="0" w:space="0" w:color="auto"/>
          </w:divBdr>
          <w:divsChild>
            <w:div w:id="128939658">
              <w:marLeft w:val="0"/>
              <w:marRight w:val="0"/>
              <w:marTop w:val="0"/>
              <w:marBottom w:val="0"/>
              <w:divBdr>
                <w:top w:val="none" w:sz="0" w:space="0" w:color="auto"/>
                <w:left w:val="none" w:sz="0" w:space="0" w:color="auto"/>
                <w:bottom w:val="none" w:sz="0" w:space="0" w:color="auto"/>
                <w:right w:val="none" w:sz="0" w:space="0" w:color="auto"/>
              </w:divBdr>
              <w:divsChild>
                <w:div w:id="1309703851">
                  <w:marLeft w:val="0"/>
                  <w:marRight w:val="0"/>
                  <w:marTop w:val="0"/>
                  <w:marBottom w:val="0"/>
                  <w:divBdr>
                    <w:top w:val="none" w:sz="0" w:space="0" w:color="auto"/>
                    <w:left w:val="none" w:sz="0" w:space="0" w:color="auto"/>
                    <w:bottom w:val="none" w:sz="0" w:space="0" w:color="auto"/>
                    <w:right w:val="none" w:sz="0" w:space="0" w:color="auto"/>
                  </w:divBdr>
                </w:div>
              </w:divsChild>
            </w:div>
            <w:div w:id="1315064598">
              <w:marLeft w:val="0"/>
              <w:marRight w:val="0"/>
              <w:marTop w:val="0"/>
              <w:marBottom w:val="0"/>
              <w:divBdr>
                <w:top w:val="none" w:sz="0" w:space="0" w:color="auto"/>
                <w:left w:val="none" w:sz="0" w:space="0" w:color="auto"/>
                <w:bottom w:val="none" w:sz="0" w:space="0" w:color="auto"/>
                <w:right w:val="none" w:sz="0" w:space="0" w:color="auto"/>
              </w:divBdr>
              <w:divsChild>
                <w:div w:id="9619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7825">
          <w:marLeft w:val="0"/>
          <w:marRight w:val="0"/>
          <w:marTop w:val="0"/>
          <w:marBottom w:val="0"/>
          <w:divBdr>
            <w:top w:val="none" w:sz="0" w:space="0" w:color="auto"/>
            <w:left w:val="none" w:sz="0" w:space="0" w:color="auto"/>
            <w:bottom w:val="none" w:sz="0" w:space="0" w:color="auto"/>
            <w:right w:val="none" w:sz="0" w:space="0" w:color="auto"/>
          </w:divBdr>
          <w:divsChild>
            <w:div w:id="2056347278">
              <w:marLeft w:val="0"/>
              <w:marRight w:val="0"/>
              <w:marTop w:val="0"/>
              <w:marBottom w:val="0"/>
              <w:divBdr>
                <w:top w:val="none" w:sz="0" w:space="0" w:color="auto"/>
                <w:left w:val="none" w:sz="0" w:space="0" w:color="auto"/>
                <w:bottom w:val="none" w:sz="0" w:space="0" w:color="auto"/>
                <w:right w:val="none" w:sz="0" w:space="0" w:color="auto"/>
              </w:divBdr>
              <w:divsChild>
                <w:div w:id="953943287">
                  <w:marLeft w:val="0"/>
                  <w:marRight w:val="0"/>
                  <w:marTop w:val="0"/>
                  <w:marBottom w:val="0"/>
                  <w:divBdr>
                    <w:top w:val="none" w:sz="0" w:space="0" w:color="auto"/>
                    <w:left w:val="none" w:sz="0" w:space="0" w:color="auto"/>
                    <w:bottom w:val="none" w:sz="0" w:space="0" w:color="auto"/>
                    <w:right w:val="none" w:sz="0" w:space="0" w:color="auto"/>
                  </w:divBdr>
                </w:div>
              </w:divsChild>
            </w:div>
            <w:div w:id="1749886271">
              <w:marLeft w:val="0"/>
              <w:marRight w:val="0"/>
              <w:marTop w:val="0"/>
              <w:marBottom w:val="0"/>
              <w:divBdr>
                <w:top w:val="none" w:sz="0" w:space="0" w:color="auto"/>
                <w:left w:val="none" w:sz="0" w:space="0" w:color="auto"/>
                <w:bottom w:val="none" w:sz="0" w:space="0" w:color="auto"/>
                <w:right w:val="none" w:sz="0" w:space="0" w:color="auto"/>
              </w:divBdr>
              <w:divsChild>
                <w:div w:id="6056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4631">
          <w:marLeft w:val="0"/>
          <w:marRight w:val="0"/>
          <w:marTop w:val="0"/>
          <w:marBottom w:val="0"/>
          <w:divBdr>
            <w:top w:val="none" w:sz="0" w:space="0" w:color="auto"/>
            <w:left w:val="none" w:sz="0" w:space="0" w:color="auto"/>
            <w:bottom w:val="none" w:sz="0" w:space="0" w:color="auto"/>
            <w:right w:val="none" w:sz="0" w:space="0" w:color="auto"/>
          </w:divBdr>
          <w:divsChild>
            <w:div w:id="553083336">
              <w:marLeft w:val="0"/>
              <w:marRight w:val="0"/>
              <w:marTop w:val="0"/>
              <w:marBottom w:val="0"/>
              <w:divBdr>
                <w:top w:val="none" w:sz="0" w:space="0" w:color="auto"/>
                <w:left w:val="none" w:sz="0" w:space="0" w:color="auto"/>
                <w:bottom w:val="none" w:sz="0" w:space="0" w:color="auto"/>
                <w:right w:val="none" w:sz="0" w:space="0" w:color="auto"/>
              </w:divBdr>
              <w:divsChild>
                <w:div w:id="416290658">
                  <w:marLeft w:val="0"/>
                  <w:marRight w:val="0"/>
                  <w:marTop w:val="0"/>
                  <w:marBottom w:val="0"/>
                  <w:divBdr>
                    <w:top w:val="none" w:sz="0" w:space="0" w:color="auto"/>
                    <w:left w:val="none" w:sz="0" w:space="0" w:color="auto"/>
                    <w:bottom w:val="none" w:sz="0" w:space="0" w:color="auto"/>
                    <w:right w:val="none" w:sz="0" w:space="0" w:color="auto"/>
                  </w:divBdr>
                </w:div>
              </w:divsChild>
            </w:div>
            <w:div w:id="474639575">
              <w:marLeft w:val="0"/>
              <w:marRight w:val="0"/>
              <w:marTop w:val="0"/>
              <w:marBottom w:val="0"/>
              <w:divBdr>
                <w:top w:val="none" w:sz="0" w:space="0" w:color="auto"/>
                <w:left w:val="none" w:sz="0" w:space="0" w:color="auto"/>
                <w:bottom w:val="none" w:sz="0" w:space="0" w:color="auto"/>
                <w:right w:val="none" w:sz="0" w:space="0" w:color="auto"/>
              </w:divBdr>
              <w:divsChild>
                <w:div w:id="13427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04">
          <w:marLeft w:val="0"/>
          <w:marRight w:val="0"/>
          <w:marTop w:val="0"/>
          <w:marBottom w:val="0"/>
          <w:divBdr>
            <w:top w:val="none" w:sz="0" w:space="0" w:color="auto"/>
            <w:left w:val="none" w:sz="0" w:space="0" w:color="auto"/>
            <w:bottom w:val="none" w:sz="0" w:space="0" w:color="auto"/>
            <w:right w:val="none" w:sz="0" w:space="0" w:color="auto"/>
          </w:divBdr>
          <w:divsChild>
            <w:div w:id="2062707835">
              <w:marLeft w:val="0"/>
              <w:marRight w:val="0"/>
              <w:marTop w:val="0"/>
              <w:marBottom w:val="0"/>
              <w:divBdr>
                <w:top w:val="none" w:sz="0" w:space="0" w:color="auto"/>
                <w:left w:val="none" w:sz="0" w:space="0" w:color="auto"/>
                <w:bottom w:val="none" w:sz="0" w:space="0" w:color="auto"/>
                <w:right w:val="none" w:sz="0" w:space="0" w:color="auto"/>
              </w:divBdr>
              <w:divsChild>
                <w:div w:id="326832783">
                  <w:marLeft w:val="0"/>
                  <w:marRight w:val="0"/>
                  <w:marTop w:val="0"/>
                  <w:marBottom w:val="0"/>
                  <w:divBdr>
                    <w:top w:val="none" w:sz="0" w:space="0" w:color="auto"/>
                    <w:left w:val="none" w:sz="0" w:space="0" w:color="auto"/>
                    <w:bottom w:val="none" w:sz="0" w:space="0" w:color="auto"/>
                    <w:right w:val="none" w:sz="0" w:space="0" w:color="auto"/>
                  </w:divBdr>
                </w:div>
              </w:divsChild>
            </w:div>
            <w:div w:id="1526674041">
              <w:marLeft w:val="0"/>
              <w:marRight w:val="0"/>
              <w:marTop w:val="0"/>
              <w:marBottom w:val="0"/>
              <w:divBdr>
                <w:top w:val="none" w:sz="0" w:space="0" w:color="auto"/>
                <w:left w:val="none" w:sz="0" w:space="0" w:color="auto"/>
                <w:bottom w:val="none" w:sz="0" w:space="0" w:color="auto"/>
                <w:right w:val="none" w:sz="0" w:space="0" w:color="auto"/>
              </w:divBdr>
              <w:divsChild>
                <w:div w:id="14848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7290">
          <w:marLeft w:val="0"/>
          <w:marRight w:val="0"/>
          <w:marTop w:val="0"/>
          <w:marBottom w:val="0"/>
          <w:divBdr>
            <w:top w:val="none" w:sz="0" w:space="0" w:color="auto"/>
            <w:left w:val="none" w:sz="0" w:space="0" w:color="auto"/>
            <w:bottom w:val="none" w:sz="0" w:space="0" w:color="auto"/>
            <w:right w:val="none" w:sz="0" w:space="0" w:color="auto"/>
          </w:divBdr>
          <w:divsChild>
            <w:div w:id="1316034874">
              <w:marLeft w:val="0"/>
              <w:marRight w:val="0"/>
              <w:marTop w:val="0"/>
              <w:marBottom w:val="0"/>
              <w:divBdr>
                <w:top w:val="none" w:sz="0" w:space="0" w:color="auto"/>
                <w:left w:val="none" w:sz="0" w:space="0" w:color="auto"/>
                <w:bottom w:val="none" w:sz="0" w:space="0" w:color="auto"/>
                <w:right w:val="none" w:sz="0" w:space="0" w:color="auto"/>
              </w:divBdr>
              <w:divsChild>
                <w:div w:id="589588242">
                  <w:marLeft w:val="0"/>
                  <w:marRight w:val="0"/>
                  <w:marTop w:val="0"/>
                  <w:marBottom w:val="0"/>
                  <w:divBdr>
                    <w:top w:val="none" w:sz="0" w:space="0" w:color="auto"/>
                    <w:left w:val="none" w:sz="0" w:space="0" w:color="auto"/>
                    <w:bottom w:val="none" w:sz="0" w:space="0" w:color="auto"/>
                    <w:right w:val="none" w:sz="0" w:space="0" w:color="auto"/>
                  </w:divBdr>
                </w:div>
              </w:divsChild>
            </w:div>
            <w:div w:id="863784345">
              <w:marLeft w:val="0"/>
              <w:marRight w:val="0"/>
              <w:marTop w:val="0"/>
              <w:marBottom w:val="0"/>
              <w:divBdr>
                <w:top w:val="none" w:sz="0" w:space="0" w:color="auto"/>
                <w:left w:val="none" w:sz="0" w:space="0" w:color="auto"/>
                <w:bottom w:val="none" w:sz="0" w:space="0" w:color="auto"/>
                <w:right w:val="none" w:sz="0" w:space="0" w:color="auto"/>
              </w:divBdr>
              <w:divsChild>
                <w:div w:id="12754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9583">
          <w:marLeft w:val="0"/>
          <w:marRight w:val="0"/>
          <w:marTop w:val="0"/>
          <w:marBottom w:val="0"/>
          <w:divBdr>
            <w:top w:val="none" w:sz="0" w:space="0" w:color="auto"/>
            <w:left w:val="none" w:sz="0" w:space="0" w:color="auto"/>
            <w:bottom w:val="none" w:sz="0" w:space="0" w:color="auto"/>
            <w:right w:val="none" w:sz="0" w:space="0" w:color="auto"/>
          </w:divBdr>
          <w:divsChild>
            <w:div w:id="753935198">
              <w:marLeft w:val="0"/>
              <w:marRight w:val="0"/>
              <w:marTop w:val="0"/>
              <w:marBottom w:val="0"/>
              <w:divBdr>
                <w:top w:val="none" w:sz="0" w:space="0" w:color="auto"/>
                <w:left w:val="none" w:sz="0" w:space="0" w:color="auto"/>
                <w:bottom w:val="none" w:sz="0" w:space="0" w:color="auto"/>
                <w:right w:val="none" w:sz="0" w:space="0" w:color="auto"/>
              </w:divBdr>
              <w:divsChild>
                <w:div w:id="237860323">
                  <w:marLeft w:val="0"/>
                  <w:marRight w:val="0"/>
                  <w:marTop w:val="0"/>
                  <w:marBottom w:val="0"/>
                  <w:divBdr>
                    <w:top w:val="none" w:sz="0" w:space="0" w:color="auto"/>
                    <w:left w:val="none" w:sz="0" w:space="0" w:color="auto"/>
                    <w:bottom w:val="none" w:sz="0" w:space="0" w:color="auto"/>
                    <w:right w:val="none" w:sz="0" w:space="0" w:color="auto"/>
                  </w:divBdr>
                </w:div>
              </w:divsChild>
            </w:div>
            <w:div w:id="1179079582">
              <w:marLeft w:val="0"/>
              <w:marRight w:val="0"/>
              <w:marTop w:val="0"/>
              <w:marBottom w:val="0"/>
              <w:divBdr>
                <w:top w:val="none" w:sz="0" w:space="0" w:color="auto"/>
                <w:left w:val="none" w:sz="0" w:space="0" w:color="auto"/>
                <w:bottom w:val="none" w:sz="0" w:space="0" w:color="auto"/>
                <w:right w:val="none" w:sz="0" w:space="0" w:color="auto"/>
              </w:divBdr>
              <w:divsChild>
                <w:div w:id="1424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5313">
          <w:marLeft w:val="0"/>
          <w:marRight w:val="0"/>
          <w:marTop w:val="0"/>
          <w:marBottom w:val="0"/>
          <w:divBdr>
            <w:top w:val="none" w:sz="0" w:space="0" w:color="auto"/>
            <w:left w:val="none" w:sz="0" w:space="0" w:color="auto"/>
            <w:bottom w:val="none" w:sz="0" w:space="0" w:color="auto"/>
            <w:right w:val="none" w:sz="0" w:space="0" w:color="auto"/>
          </w:divBdr>
          <w:divsChild>
            <w:div w:id="1946497031">
              <w:marLeft w:val="0"/>
              <w:marRight w:val="0"/>
              <w:marTop w:val="0"/>
              <w:marBottom w:val="0"/>
              <w:divBdr>
                <w:top w:val="none" w:sz="0" w:space="0" w:color="auto"/>
                <w:left w:val="none" w:sz="0" w:space="0" w:color="auto"/>
                <w:bottom w:val="none" w:sz="0" w:space="0" w:color="auto"/>
                <w:right w:val="none" w:sz="0" w:space="0" w:color="auto"/>
              </w:divBdr>
              <w:divsChild>
                <w:div w:id="443963314">
                  <w:marLeft w:val="0"/>
                  <w:marRight w:val="0"/>
                  <w:marTop w:val="0"/>
                  <w:marBottom w:val="0"/>
                  <w:divBdr>
                    <w:top w:val="none" w:sz="0" w:space="0" w:color="auto"/>
                    <w:left w:val="none" w:sz="0" w:space="0" w:color="auto"/>
                    <w:bottom w:val="none" w:sz="0" w:space="0" w:color="auto"/>
                    <w:right w:val="none" w:sz="0" w:space="0" w:color="auto"/>
                  </w:divBdr>
                </w:div>
              </w:divsChild>
            </w:div>
            <w:div w:id="307244534">
              <w:marLeft w:val="0"/>
              <w:marRight w:val="0"/>
              <w:marTop w:val="0"/>
              <w:marBottom w:val="0"/>
              <w:divBdr>
                <w:top w:val="none" w:sz="0" w:space="0" w:color="auto"/>
                <w:left w:val="none" w:sz="0" w:space="0" w:color="auto"/>
                <w:bottom w:val="none" w:sz="0" w:space="0" w:color="auto"/>
                <w:right w:val="none" w:sz="0" w:space="0" w:color="auto"/>
              </w:divBdr>
              <w:divsChild>
                <w:div w:id="31014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6386">
          <w:marLeft w:val="0"/>
          <w:marRight w:val="0"/>
          <w:marTop w:val="0"/>
          <w:marBottom w:val="0"/>
          <w:divBdr>
            <w:top w:val="none" w:sz="0" w:space="0" w:color="auto"/>
            <w:left w:val="none" w:sz="0" w:space="0" w:color="auto"/>
            <w:bottom w:val="none" w:sz="0" w:space="0" w:color="auto"/>
            <w:right w:val="none" w:sz="0" w:space="0" w:color="auto"/>
          </w:divBdr>
          <w:divsChild>
            <w:div w:id="200946795">
              <w:marLeft w:val="0"/>
              <w:marRight w:val="0"/>
              <w:marTop w:val="0"/>
              <w:marBottom w:val="0"/>
              <w:divBdr>
                <w:top w:val="none" w:sz="0" w:space="0" w:color="auto"/>
                <w:left w:val="none" w:sz="0" w:space="0" w:color="auto"/>
                <w:bottom w:val="none" w:sz="0" w:space="0" w:color="auto"/>
                <w:right w:val="none" w:sz="0" w:space="0" w:color="auto"/>
              </w:divBdr>
              <w:divsChild>
                <w:div w:id="915473485">
                  <w:marLeft w:val="0"/>
                  <w:marRight w:val="0"/>
                  <w:marTop w:val="0"/>
                  <w:marBottom w:val="0"/>
                  <w:divBdr>
                    <w:top w:val="none" w:sz="0" w:space="0" w:color="auto"/>
                    <w:left w:val="none" w:sz="0" w:space="0" w:color="auto"/>
                    <w:bottom w:val="none" w:sz="0" w:space="0" w:color="auto"/>
                    <w:right w:val="none" w:sz="0" w:space="0" w:color="auto"/>
                  </w:divBdr>
                </w:div>
              </w:divsChild>
            </w:div>
            <w:div w:id="702294325">
              <w:marLeft w:val="0"/>
              <w:marRight w:val="0"/>
              <w:marTop w:val="0"/>
              <w:marBottom w:val="0"/>
              <w:divBdr>
                <w:top w:val="none" w:sz="0" w:space="0" w:color="auto"/>
                <w:left w:val="none" w:sz="0" w:space="0" w:color="auto"/>
                <w:bottom w:val="none" w:sz="0" w:space="0" w:color="auto"/>
                <w:right w:val="none" w:sz="0" w:space="0" w:color="auto"/>
              </w:divBdr>
              <w:divsChild>
                <w:div w:id="1894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541">
          <w:marLeft w:val="0"/>
          <w:marRight w:val="0"/>
          <w:marTop w:val="0"/>
          <w:marBottom w:val="0"/>
          <w:divBdr>
            <w:top w:val="none" w:sz="0" w:space="0" w:color="auto"/>
            <w:left w:val="none" w:sz="0" w:space="0" w:color="auto"/>
            <w:bottom w:val="none" w:sz="0" w:space="0" w:color="auto"/>
            <w:right w:val="none" w:sz="0" w:space="0" w:color="auto"/>
          </w:divBdr>
          <w:divsChild>
            <w:div w:id="33583695">
              <w:marLeft w:val="0"/>
              <w:marRight w:val="0"/>
              <w:marTop w:val="0"/>
              <w:marBottom w:val="0"/>
              <w:divBdr>
                <w:top w:val="none" w:sz="0" w:space="0" w:color="auto"/>
                <w:left w:val="none" w:sz="0" w:space="0" w:color="auto"/>
                <w:bottom w:val="none" w:sz="0" w:space="0" w:color="auto"/>
                <w:right w:val="none" w:sz="0" w:space="0" w:color="auto"/>
              </w:divBdr>
              <w:divsChild>
                <w:div w:id="1587109097">
                  <w:marLeft w:val="0"/>
                  <w:marRight w:val="0"/>
                  <w:marTop w:val="0"/>
                  <w:marBottom w:val="0"/>
                  <w:divBdr>
                    <w:top w:val="none" w:sz="0" w:space="0" w:color="auto"/>
                    <w:left w:val="none" w:sz="0" w:space="0" w:color="auto"/>
                    <w:bottom w:val="none" w:sz="0" w:space="0" w:color="auto"/>
                    <w:right w:val="none" w:sz="0" w:space="0" w:color="auto"/>
                  </w:divBdr>
                </w:div>
              </w:divsChild>
            </w:div>
            <w:div w:id="1199590300">
              <w:marLeft w:val="0"/>
              <w:marRight w:val="0"/>
              <w:marTop w:val="0"/>
              <w:marBottom w:val="0"/>
              <w:divBdr>
                <w:top w:val="none" w:sz="0" w:space="0" w:color="auto"/>
                <w:left w:val="none" w:sz="0" w:space="0" w:color="auto"/>
                <w:bottom w:val="none" w:sz="0" w:space="0" w:color="auto"/>
                <w:right w:val="none" w:sz="0" w:space="0" w:color="auto"/>
              </w:divBdr>
              <w:divsChild>
                <w:div w:id="17754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99564">
          <w:marLeft w:val="0"/>
          <w:marRight w:val="0"/>
          <w:marTop w:val="0"/>
          <w:marBottom w:val="0"/>
          <w:divBdr>
            <w:top w:val="none" w:sz="0" w:space="0" w:color="auto"/>
            <w:left w:val="none" w:sz="0" w:space="0" w:color="auto"/>
            <w:bottom w:val="none" w:sz="0" w:space="0" w:color="auto"/>
            <w:right w:val="none" w:sz="0" w:space="0" w:color="auto"/>
          </w:divBdr>
          <w:divsChild>
            <w:div w:id="275793300">
              <w:marLeft w:val="0"/>
              <w:marRight w:val="0"/>
              <w:marTop w:val="0"/>
              <w:marBottom w:val="0"/>
              <w:divBdr>
                <w:top w:val="none" w:sz="0" w:space="0" w:color="auto"/>
                <w:left w:val="none" w:sz="0" w:space="0" w:color="auto"/>
                <w:bottom w:val="none" w:sz="0" w:space="0" w:color="auto"/>
                <w:right w:val="none" w:sz="0" w:space="0" w:color="auto"/>
              </w:divBdr>
              <w:divsChild>
                <w:div w:id="622423718">
                  <w:marLeft w:val="0"/>
                  <w:marRight w:val="0"/>
                  <w:marTop w:val="0"/>
                  <w:marBottom w:val="0"/>
                  <w:divBdr>
                    <w:top w:val="none" w:sz="0" w:space="0" w:color="auto"/>
                    <w:left w:val="none" w:sz="0" w:space="0" w:color="auto"/>
                    <w:bottom w:val="none" w:sz="0" w:space="0" w:color="auto"/>
                    <w:right w:val="none" w:sz="0" w:space="0" w:color="auto"/>
                  </w:divBdr>
                </w:div>
              </w:divsChild>
            </w:div>
            <w:div w:id="1863207149">
              <w:marLeft w:val="0"/>
              <w:marRight w:val="0"/>
              <w:marTop w:val="0"/>
              <w:marBottom w:val="0"/>
              <w:divBdr>
                <w:top w:val="none" w:sz="0" w:space="0" w:color="auto"/>
                <w:left w:val="none" w:sz="0" w:space="0" w:color="auto"/>
                <w:bottom w:val="none" w:sz="0" w:space="0" w:color="auto"/>
                <w:right w:val="none" w:sz="0" w:space="0" w:color="auto"/>
              </w:divBdr>
              <w:divsChild>
                <w:div w:id="1308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7939">
          <w:marLeft w:val="0"/>
          <w:marRight w:val="0"/>
          <w:marTop w:val="0"/>
          <w:marBottom w:val="0"/>
          <w:divBdr>
            <w:top w:val="none" w:sz="0" w:space="0" w:color="auto"/>
            <w:left w:val="none" w:sz="0" w:space="0" w:color="auto"/>
            <w:bottom w:val="none" w:sz="0" w:space="0" w:color="auto"/>
            <w:right w:val="none" w:sz="0" w:space="0" w:color="auto"/>
          </w:divBdr>
          <w:divsChild>
            <w:div w:id="892083089">
              <w:marLeft w:val="0"/>
              <w:marRight w:val="0"/>
              <w:marTop w:val="0"/>
              <w:marBottom w:val="0"/>
              <w:divBdr>
                <w:top w:val="none" w:sz="0" w:space="0" w:color="auto"/>
                <w:left w:val="none" w:sz="0" w:space="0" w:color="auto"/>
                <w:bottom w:val="none" w:sz="0" w:space="0" w:color="auto"/>
                <w:right w:val="none" w:sz="0" w:space="0" w:color="auto"/>
              </w:divBdr>
              <w:divsChild>
                <w:div w:id="283584356">
                  <w:marLeft w:val="0"/>
                  <w:marRight w:val="0"/>
                  <w:marTop w:val="0"/>
                  <w:marBottom w:val="0"/>
                  <w:divBdr>
                    <w:top w:val="none" w:sz="0" w:space="0" w:color="auto"/>
                    <w:left w:val="none" w:sz="0" w:space="0" w:color="auto"/>
                    <w:bottom w:val="none" w:sz="0" w:space="0" w:color="auto"/>
                    <w:right w:val="none" w:sz="0" w:space="0" w:color="auto"/>
                  </w:divBdr>
                </w:div>
              </w:divsChild>
            </w:div>
            <w:div w:id="1245335481">
              <w:marLeft w:val="0"/>
              <w:marRight w:val="0"/>
              <w:marTop w:val="0"/>
              <w:marBottom w:val="0"/>
              <w:divBdr>
                <w:top w:val="none" w:sz="0" w:space="0" w:color="auto"/>
                <w:left w:val="none" w:sz="0" w:space="0" w:color="auto"/>
                <w:bottom w:val="none" w:sz="0" w:space="0" w:color="auto"/>
                <w:right w:val="none" w:sz="0" w:space="0" w:color="auto"/>
              </w:divBdr>
              <w:divsChild>
                <w:div w:id="2458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5156">
          <w:marLeft w:val="0"/>
          <w:marRight w:val="0"/>
          <w:marTop w:val="0"/>
          <w:marBottom w:val="0"/>
          <w:divBdr>
            <w:top w:val="none" w:sz="0" w:space="0" w:color="auto"/>
            <w:left w:val="none" w:sz="0" w:space="0" w:color="auto"/>
            <w:bottom w:val="none" w:sz="0" w:space="0" w:color="auto"/>
            <w:right w:val="none" w:sz="0" w:space="0" w:color="auto"/>
          </w:divBdr>
          <w:divsChild>
            <w:div w:id="891229625">
              <w:marLeft w:val="0"/>
              <w:marRight w:val="0"/>
              <w:marTop w:val="0"/>
              <w:marBottom w:val="0"/>
              <w:divBdr>
                <w:top w:val="none" w:sz="0" w:space="0" w:color="auto"/>
                <w:left w:val="none" w:sz="0" w:space="0" w:color="auto"/>
                <w:bottom w:val="none" w:sz="0" w:space="0" w:color="auto"/>
                <w:right w:val="none" w:sz="0" w:space="0" w:color="auto"/>
              </w:divBdr>
              <w:divsChild>
                <w:div w:id="1167017610">
                  <w:marLeft w:val="0"/>
                  <w:marRight w:val="0"/>
                  <w:marTop w:val="0"/>
                  <w:marBottom w:val="0"/>
                  <w:divBdr>
                    <w:top w:val="none" w:sz="0" w:space="0" w:color="auto"/>
                    <w:left w:val="none" w:sz="0" w:space="0" w:color="auto"/>
                    <w:bottom w:val="none" w:sz="0" w:space="0" w:color="auto"/>
                    <w:right w:val="none" w:sz="0" w:space="0" w:color="auto"/>
                  </w:divBdr>
                </w:div>
              </w:divsChild>
            </w:div>
            <w:div w:id="1227690858">
              <w:marLeft w:val="0"/>
              <w:marRight w:val="0"/>
              <w:marTop w:val="0"/>
              <w:marBottom w:val="0"/>
              <w:divBdr>
                <w:top w:val="none" w:sz="0" w:space="0" w:color="auto"/>
                <w:left w:val="none" w:sz="0" w:space="0" w:color="auto"/>
                <w:bottom w:val="none" w:sz="0" w:space="0" w:color="auto"/>
                <w:right w:val="none" w:sz="0" w:space="0" w:color="auto"/>
              </w:divBdr>
              <w:divsChild>
                <w:div w:id="18192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106">
          <w:marLeft w:val="0"/>
          <w:marRight w:val="0"/>
          <w:marTop w:val="0"/>
          <w:marBottom w:val="0"/>
          <w:divBdr>
            <w:top w:val="none" w:sz="0" w:space="0" w:color="auto"/>
            <w:left w:val="none" w:sz="0" w:space="0" w:color="auto"/>
            <w:bottom w:val="none" w:sz="0" w:space="0" w:color="auto"/>
            <w:right w:val="none" w:sz="0" w:space="0" w:color="auto"/>
          </w:divBdr>
          <w:divsChild>
            <w:div w:id="361169466">
              <w:marLeft w:val="0"/>
              <w:marRight w:val="0"/>
              <w:marTop w:val="0"/>
              <w:marBottom w:val="0"/>
              <w:divBdr>
                <w:top w:val="none" w:sz="0" w:space="0" w:color="auto"/>
                <w:left w:val="none" w:sz="0" w:space="0" w:color="auto"/>
                <w:bottom w:val="none" w:sz="0" w:space="0" w:color="auto"/>
                <w:right w:val="none" w:sz="0" w:space="0" w:color="auto"/>
              </w:divBdr>
              <w:divsChild>
                <w:div w:id="391346795">
                  <w:marLeft w:val="0"/>
                  <w:marRight w:val="0"/>
                  <w:marTop w:val="0"/>
                  <w:marBottom w:val="0"/>
                  <w:divBdr>
                    <w:top w:val="none" w:sz="0" w:space="0" w:color="auto"/>
                    <w:left w:val="none" w:sz="0" w:space="0" w:color="auto"/>
                    <w:bottom w:val="none" w:sz="0" w:space="0" w:color="auto"/>
                    <w:right w:val="none" w:sz="0" w:space="0" w:color="auto"/>
                  </w:divBdr>
                </w:div>
              </w:divsChild>
            </w:div>
            <w:div w:id="1687488296">
              <w:marLeft w:val="0"/>
              <w:marRight w:val="0"/>
              <w:marTop w:val="0"/>
              <w:marBottom w:val="0"/>
              <w:divBdr>
                <w:top w:val="none" w:sz="0" w:space="0" w:color="auto"/>
                <w:left w:val="none" w:sz="0" w:space="0" w:color="auto"/>
                <w:bottom w:val="none" w:sz="0" w:space="0" w:color="auto"/>
                <w:right w:val="none" w:sz="0" w:space="0" w:color="auto"/>
              </w:divBdr>
              <w:divsChild>
                <w:div w:id="18216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69570">
          <w:marLeft w:val="0"/>
          <w:marRight w:val="0"/>
          <w:marTop w:val="0"/>
          <w:marBottom w:val="0"/>
          <w:divBdr>
            <w:top w:val="none" w:sz="0" w:space="0" w:color="auto"/>
            <w:left w:val="none" w:sz="0" w:space="0" w:color="auto"/>
            <w:bottom w:val="none" w:sz="0" w:space="0" w:color="auto"/>
            <w:right w:val="none" w:sz="0" w:space="0" w:color="auto"/>
          </w:divBdr>
          <w:divsChild>
            <w:div w:id="288706830">
              <w:marLeft w:val="0"/>
              <w:marRight w:val="0"/>
              <w:marTop w:val="0"/>
              <w:marBottom w:val="0"/>
              <w:divBdr>
                <w:top w:val="none" w:sz="0" w:space="0" w:color="auto"/>
                <w:left w:val="none" w:sz="0" w:space="0" w:color="auto"/>
                <w:bottom w:val="none" w:sz="0" w:space="0" w:color="auto"/>
                <w:right w:val="none" w:sz="0" w:space="0" w:color="auto"/>
              </w:divBdr>
              <w:divsChild>
                <w:div w:id="685059109">
                  <w:marLeft w:val="0"/>
                  <w:marRight w:val="0"/>
                  <w:marTop w:val="0"/>
                  <w:marBottom w:val="0"/>
                  <w:divBdr>
                    <w:top w:val="none" w:sz="0" w:space="0" w:color="auto"/>
                    <w:left w:val="none" w:sz="0" w:space="0" w:color="auto"/>
                    <w:bottom w:val="none" w:sz="0" w:space="0" w:color="auto"/>
                    <w:right w:val="none" w:sz="0" w:space="0" w:color="auto"/>
                  </w:divBdr>
                </w:div>
              </w:divsChild>
            </w:div>
            <w:div w:id="2086804670">
              <w:marLeft w:val="0"/>
              <w:marRight w:val="0"/>
              <w:marTop w:val="0"/>
              <w:marBottom w:val="0"/>
              <w:divBdr>
                <w:top w:val="none" w:sz="0" w:space="0" w:color="auto"/>
                <w:left w:val="none" w:sz="0" w:space="0" w:color="auto"/>
                <w:bottom w:val="none" w:sz="0" w:space="0" w:color="auto"/>
                <w:right w:val="none" w:sz="0" w:space="0" w:color="auto"/>
              </w:divBdr>
              <w:divsChild>
                <w:div w:id="6032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836">
          <w:marLeft w:val="0"/>
          <w:marRight w:val="0"/>
          <w:marTop w:val="0"/>
          <w:marBottom w:val="0"/>
          <w:divBdr>
            <w:top w:val="none" w:sz="0" w:space="0" w:color="auto"/>
            <w:left w:val="none" w:sz="0" w:space="0" w:color="auto"/>
            <w:bottom w:val="none" w:sz="0" w:space="0" w:color="auto"/>
            <w:right w:val="none" w:sz="0" w:space="0" w:color="auto"/>
          </w:divBdr>
          <w:divsChild>
            <w:div w:id="932710943">
              <w:marLeft w:val="0"/>
              <w:marRight w:val="0"/>
              <w:marTop w:val="0"/>
              <w:marBottom w:val="0"/>
              <w:divBdr>
                <w:top w:val="none" w:sz="0" w:space="0" w:color="auto"/>
                <w:left w:val="none" w:sz="0" w:space="0" w:color="auto"/>
                <w:bottom w:val="none" w:sz="0" w:space="0" w:color="auto"/>
                <w:right w:val="none" w:sz="0" w:space="0" w:color="auto"/>
              </w:divBdr>
              <w:divsChild>
                <w:div w:id="1769229819">
                  <w:marLeft w:val="0"/>
                  <w:marRight w:val="0"/>
                  <w:marTop w:val="0"/>
                  <w:marBottom w:val="0"/>
                  <w:divBdr>
                    <w:top w:val="none" w:sz="0" w:space="0" w:color="auto"/>
                    <w:left w:val="none" w:sz="0" w:space="0" w:color="auto"/>
                    <w:bottom w:val="none" w:sz="0" w:space="0" w:color="auto"/>
                    <w:right w:val="none" w:sz="0" w:space="0" w:color="auto"/>
                  </w:divBdr>
                </w:div>
              </w:divsChild>
            </w:div>
            <w:div w:id="110907801">
              <w:marLeft w:val="0"/>
              <w:marRight w:val="0"/>
              <w:marTop w:val="0"/>
              <w:marBottom w:val="0"/>
              <w:divBdr>
                <w:top w:val="none" w:sz="0" w:space="0" w:color="auto"/>
                <w:left w:val="none" w:sz="0" w:space="0" w:color="auto"/>
                <w:bottom w:val="none" w:sz="0" w:space="0" w:color="auto"/>
                <w:right w:val="none" w:sz="0" w:space="0" w:color="auto"/>
              </w:divBdr>
              <w:divsChild>
                <w:div w:id="135950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66806">
          <w:marLeft w:val="0"/>
          <w:marRight w:val="0"/>
          <w:marTop w:val="0"/>
          <w:marBottom w:val="0"/>
          <w:divBdr>
            <w:top w:val="none" w:sz="0" w:space="0" w:color="auto"/>
            <w:left w:val="none" w:sz="0" w:space="0" w:color="auto"/>
            <w:bottom w:val="none" w:sz="0" w:space="0" w:color="auto"/>
            <w:right w:val="none" w:sz="0" w:space="0" w:color="auto"/>
          </w:divBdr>
          <w:divsChild>
            <w:div w:id="1387952746">
              <w:marLeft w:val="0"/>
              <w:marRight w:val="0"/>
              <w:marTop w:val="0"/>
              <w:marBottom w:val="0"/>
              <w:divBdr>
                <w:top w:val="none" w:sz="0" w:space="0" w:color="auto"/>
                <w:left w:val="none" w:sz="0" w:space="0" w:color="auto"/>
                <w:bottom w:val="none" w:sz="0" w:space="0" w:color="auto"/>
                <w:right w:val="none" w:sz="0" w:space="0" w:color="auto"/>
              </w:divBdr>
              <w:divsChild>
                <w:div w:id="1608000597">
                  <w:marLeft w:val="0"/>
                  <w:marRight w:val="0"/>
                  <w:marTop w:val="0"/>
                  <w:marBottom w:val="0"/>
                  <w:divBdr>
                    <w:top w:val="none" w:sz="0" w:space="0" w:color="auto"/>
                    <w:left w:val="none" w:sz="0" w:space="0" w:color="auto"/>
                    <w:bottom w:val="none" w:sz="0" w:space="0" w:color="auto"/>
                    <w:right w:val="none" w:sz="0" w:space="0" w:color="auto"/>
                  </w:divBdr>
                </w:div>
              </w:divsChild>
            </w:div>
            <w:div w:id="1469661578">
              <w:marLeft w:val="0"/>
              <w:marRight w:val="0"/>
              <w:marTop w:val="0"/>
              <w:marBottom w:val="0"/>
              <w:divBdr>
                <w:top w:val="none" w:sz="0" w:space="0" w:color="auto"/>
                <w:left w:val="none" w:sz="0" w:space="0" w:color="auto"/>
                <w:bottom w:val="none" w:sz="0" w:space="0" w:color="auto"/>
                <w:right w:val="none" w:sz="0" w:space="0" w:color="auto"/>
              </w:divBdr>
              <w:divsChild>
                <w:div w:id="19392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00383">
          <w:marLeft w:val="0"/>
          <w:marRight w:val="0"/>
          <w:marTop w:val="0"/>
          <w:marBottom w:val="0"/>
          <w:divBdr>
            <w:top w:val="none" w:sz="0" w:space="0" w:color="auto"/>
            <w:left w:val="none" w:sz="0" w:space="0" w:color="auto"/>
            <w:bottom w:val="none" w:sz="0" w:space="0" w:color="auto"/>
            <w:right w:val="none" w:sz="0" w:space="0" w:color="auto"/>
          </w:divBdr>
          <w:divsChild>
            <w:div w:id="1563055321">
              <w:marLeft w:val="0"/>
              <w:marRight w:val="0"/>
              <w:marTop w:val="0"/>
              <w:marBottom w:val="0"/>
              <w:divBdr>
                <w:top w:val="none" w:sz="0" w:space="0" w:color="auto"/>
                <w:left w:val="none" w:sz="0" w:space="0" w:color="auto"/>
                <w:bottom w:val="none" w:sz="0" w:space="0" w:color="auto"/>
                <w:right w:val="none" w:sz="0" w:space="0" w:color="auto"/>
              </w:divBdr>
              <w:divsChild>
                <w:div w:id="958924065">
                  <w:marLeft w:val="0"/>
                  <w:marRight w:val="0"/>
                  <w:marTop w:val="0"/>
                  <w:marBottom w:val="0"/>
                  <w:divBdr>
                    <w:top w:val="none" w:sz="0" w:space="0" w:color="auto"/>
                    <w:left w:val="none" w:sz="0" w:space="0" w:color="auto"/>
                    <w:bottom w:val="none" w:sz="0" w:space="0" w:color="auto"/>
                    <w:right w:val="none" w:sz="0" w:space="0" w:color="auto"/>
                  </w:divBdr>
                </w:div>
              </w:divsChild>
            </w:div>
            <w:div w:id="2093044119">
              <w:marLeft w:val="0"/>
              <w:marRight w:val="0"/>
              <w:marTop w:val="0"/>
              <w:marBottom w:val="0"/>
              <w:divBdr>
                <w:top w:val="none" w:sz="0" w:space="0" w:color="auto"/>
                <w:left w:val="none" w:sz="0" w:space="0" w:color="auto"/>
                <w:bottom w:val="none" w:sz="0" w:space="0" w:color="auto"/>
                <w:right w:val="none" w:sz="0" w:space="0" w:color="auto"/>
              </w:divBdr>
              <w:divsChild>
                <w:div w:id="47129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5856">
          <w:marLeft w:val="0"/>
          <w:marRight w:val="0"/>
          <w:marTop w:val="0"/>
          <w:marBottom w:val="0"/>
          <w:divBdr>
            <w:top w:val="none" w:sz="0" w:space="0" w:color="auto"/>
            <w:left w:val="none" w:sz="0" w:space="0" w:color="auto"/>
            <w:bottom w:val="none" w:sz="0" w:space="0" w:color="auto"/>
            <w:right w:val="none" w:sz="0" w:space="0" w:color="auto"/>
          </w:divBdr>
          <w:divsChild>
            <w:div w:id="514004526">
              <w:marLeft w:val="0"/>
              <w:marRight w:val="0"/>
              <w:marTop w:val="0"/>
              <w:marBottom w:val="0"/>
              <w:divBdr>
                <w:top w:val="none" w:sz="0" w:space="0" w:color="auto"/>
                <w:left w:val="none" w:sz="0" w:space="0" w:color="auto"/>
                <w:bottom w:val="none" w:sz="0" w:space="0" w:color="auto"/>
                <w:right w:val="none" w:sz="0" w:space="0" w:color="auto"/>
              </w:divBdr>
              <w:divsChild>
                <w:div w:id="1424492181">
                  <w:marLeft w:val="0"/>
                  <w:marRight w:val="0"/>
                  <w:marTop w:val="0"/>
                  <w:marBottom w:val="0"/>
                  <w:divBdr>
                    <w:top w:val="none" w:sz="0" w:space="0" w:color="auto"/>
                    <w:left w:val="none" w:sz="0" w:space="0" w:color="auto"/>
                    <w:bottom w:val="none" w:sz="0" w:space="0" w:color="auto"/>
                    <w:right w:val="none" w:sz="0" w:space="0" w:color="auto"/>
                  </w:divBdr>
                </w:div>
              </w:divsChild>
            </w:div>
            <w:div w:id="673338859">
              <w:marLeft w:val="0"/>
              <w:marRight w:val="0"/>
              <w:marTop w:val="0"/>
              <w:marBottom w:val="0"/>
              <w:divBdr>
                <w:top w:val="none" w:sz="0" w:space="0" w:color="auto"/>
                <w:left w:val="none" w:sz="0" w:space="0" w:color="auto"/>
                <w:bottom w:val="none" w:sz="0" w:space="0" w:color="auto"/>
                <w:right w:val="none" w:sz="0" w:space="0" w:color="auto"/>
              </w:divBdr>
              <w:divsChild>
                <w:div w:id="21232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469">
          <w:marLeft w:val="0"/>
          <w:marRight w:val="0"/>
          <w:marTop w:val="0"/>
          <w:marBottom w:val="0"/>
          <w:divBdr>
            <w:top w:val="none" w:sz="0" w:space="0" w:color="auto"/>
            <w:left w:val="none" w:sz="0" w:space="0" w:color="auto"/>
            <w:bottom w:val="none" w:sz="0" w:space="0" w:color="auto"/>
            <w:right w:val="none" w:sz="0" w:space="0" w:color="auto"/>
          </w:divBdr>
          <w:divsChild>
            <w:div w:id="536625953">
              <w:marLeft w:val="0"/>
              <w:marRight w:val="0"/>
              <w:marTop w:val="0"/>
              <w:marBottom w:val="0"/>
              <w:divBdr>
                <w:top w:val="none" w:sz="0" w:space="0" w:color="auto"/>
                <w:left w:val="none" w:sz="0" w:space="0" w:color="auto"/>
                <w:bottom w:val="none" w:sz="0" w:space="0" w:color="auto"/>
                <w:right w:val="none" w:sz="0" w:space="0" w:color="auto"/>
              </w:divBdr>
              <w:divsChild>
                <w:div w:id="934049271">
                  <w:marLeft w:val="0"/>
                  <w:marRight w:val="0"/>
                  <w:marTop w:val="0"/>
                  <w:marBottom w:val="0"/>
                  <w:divBdr>
                    <w:top w:val="none" w:sz="0" w:space="0" w:color="auto"/>
                    <w:left w:val="none" w:sz="0" w:space="0" w:color="auto"/>
                    <w:bottom w:val="none" w:sz="0" w:space="0" w:color="auto"/>
                    <w:right w:val="none" w:sz="0" w:space="0" w:color="auto"/>
                  </w:divBdr>
                </w:div>
              </w:divsChild>
            </w:div>
            <w:div w:id="1439721277">
              <w:marLeft w:val="0"/>
              <w:marRight w:val="0"/>
              <w:marTop w:val="0"/>
              <w:marBottom w:val="0"/>
              <w:divBdr>
                <w:top w:val="none" w:sz="0" w:space="0" w:color="auto"/>
                <w:left w:val="none" w:sz="0" w:space="0" w:color="auto"/>
                <w:bottom w:val="none" w:sz="0" w:space="0" w:color="auto"/>
                <w:right w:val="none" w:sz="0" w:space="0" w:color="auto"/>
              </w:divBdr>
              <w:divsChild>
                <w:div w:id="19859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676">
          <w:marLeft w:val="0"/>
          <w:marRight w:val="0"/>
          <w:marTop w:val="0"/>
          <w:marBottom w:val="0"/>
          <w:divBdr>
            <w:top w:val="none" w:sz="0" w:space="0" w:color="auto"/>
            <w:left w:val="none" w:sz="0" w:space="0" w:color="auto"/>
            <w:bottom w:val="none" w:sz="0" w:space="0" w:color="auto"/>
            <w:right w:val="none" w:sz="0" w:space="0" w:color="auto"/>
          </w:divBdr>
          <w:divsChild>
            <w:div w:id="243999185">
              <w:marLeft w:val="0"/>
              <w:marRight w:val="0"/>
              <w:marTop w:val="0"/>
              <w:marBottom w:val="0"/>
              <w:divBdr>
                <w:top w:val="none" w:sz="0" w:space="0" w:color="auto"/>
                <w:left w:val="none" w:sz="0" w:space="0" w:color="auto"/>
                <w:bottom w:val="none" w:sz="0" w:space="0" w:color="auto"/>
                <w:right w:val="none" w:sz="0" w:space="0" w:color="auto"/>
              </w:divBdr>
              <w:divsChild>
                <w:div w:id="1653563999">
                  <w:marLeft w:val="0"/>
                  <w:marRight w:val="0"/>
                  <w:marTop w:val="0"/>
                  <w:marBottom w:val="0"/>
                  <w:divBdr>
                    <w:top w:val="none" w:sz="0" w:space="0" w:color="auto"/>
                    <w:left w:val="none" w:sz="0" w:space="0" w:color="auto"/>
                    <w:bottom w:val="none" w:sz="0" w:space="0" w:color="auto"/>
                    <w:right w:val="none" w:sz="0" w:space="0" w:color="auto"/>
                  </w:divBdr>
                </w:div>
              </w:divsChild>
            </w:div>
            <w:div w:id="166791925">
              <w:marLeft w:val="0"/>
              <w:marRight w:val="0"/>
              <w:marTop w:val="0"/>
              <w:marBottom w:val="0"/>
              <w:divBdr>
                <w:top w:val="none" w:sz="0" w:space="0" w:color="auto"/>
                <w:left w:val="none" w:sz="0" w:space="0" w:color="auto"/>
                <w:bottom w:val="none" w:sz="0" w:space="0" w:color="auto"/>
                <w:right w:val="none" w:sz="0" w:space="0" w:color="auto"/>
              </w:divBdr>
              <w:divsChild>
                <w:div w:id="18144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6151">
          <w:marLeft w:val="0"/>
          <w:marRight w:val="0"/>
          <w:marTop w:val="0"/>
          <w:marBottom w:val="0"/>
          <w:divBdr>
            <w:top w:val="none" w:sz="0" w:space="0" w:color="auto"/>
            <w:left w:val="none" w:sz="0" w:space="0" w:color="auto"/>
            <w:bottom w:val="none" w:sz="0" w:space="0" w:color="auto"/>
            <w:right w:val="none" w:sz="0" w:space="0" w:color="auto"/>
          </w:divBdr>
          <w:divsChild>
            <w:div w:id="342437555">
              <w:marLeft w:val="0"/>
              <w:marRight w:val="0"/>
              <w:marTop w:val="0"/>
              <w:marBottom w:val="0"/>
              <w:divBdr>
                <w:top w:val="none" w:sz="0" w:space="0" w:color="auto"/>
                <w:left w:val="none" w:sz="0" w:space="0" w:color="auto"/>
                <w:bottom w:val="none" w:sz="0" w:space="0" w:color="auto"/>
                <w:right w:val="none" w:sz="0" w:space="0" w:color="auto"/>
              </w:divBdr>
              <w:divsChild>
                <w:div w:id="211328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03657">
      <w:bodyDiv w:val="1"/>
      <w:marLeft w:val="0"/>
      <w:marRight w:val="0"/>
      <w:marTop w:val="0"/>
      <w:marBottom w:val="0"/>
      <w:divBdr>
        <w:top w:val="none" w:sz="0" w:space="0" w:color="auto"/>
        <w:left w:val="none" w:sz="0" w:space="0" w:color="auto"/>
        <w:bottom w:val="none" w:sz="0" w:space="0" w:color="auto"/>
        <w:right w:val="none" w:sz="0" w:space="0" w:color="auto"/>
      </w:divBdr>
      <w:divsChild>
        <w:div w:id="1171410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340745">
      <w:bodyDiv w:val="1"/>
      <w:marLeft w:val="0"/>
      <w:marRight w:val="0"/>
      <w:marTop w:val="0"/>
      <w:marBottom w:val="0"/>
      <w:divBdr>
        <w:top w:val="none" w:sz="0" w:space="0" w:color="auto"/>
        <w:left w:val="none" w:sz="0" w:space="0" w:color="auto"/>
        <w:bottom w:val="none" w:sz="0" w:space="0" w:color="auto"/>
        <w:right w:val="none" w:sz="0" w:space="0" w:color="auto"/>
      </w:divBdr>
      <w:divsChild>
        <w:div w:id="1971742160">
          <w:marLeft w:val="0"/>
          <w:marRight w:val="0"/>
          <w:marTop w:val="0"/>
          <w:marBottom w:val="0"/>
          <w:divBdr>
            <w:top w:val="none" w:sz="0" w:space="0" w:color="auto"/>
            <w:left w:val="none" w:sz="0" w:space="0" w:color="auto"/>
            <w:bottom w:val="none" w:sz="0" w:space="0" w:color="auto"/>
            <w:right w:val="none" w:sz="0" w:space="0" w:color="auto"/>
          </w:divBdr>
          <w:divsChild>
            <w:div w:id="1778523758">
              <w:marLeft w:val="0"/>
              <w:marRight w:val="0"/>
              <w:marTop w:val="0"/>
              <w:marBottom w:val="0"/>
              <w:divBdr>
                <w:top w:val="none" w:sz="0" w:space="0" w:color="auto"/>
                <w:left w:val="none" w:sz="0" w:space="0" w:color="auto"/>
                <w:bottom w:val="none" w:sz="0" w:space="0" w:color="auto"/>
                <w:right w:val="none" w:sz="0" w:space="0" w:color="auto"/>
              </w:divBdr>
              <w:divsChild>
                <w:div w:id="4585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31</Pages>
  <Words>10976</Words>
  <Characters>65860</Characters>
  <Application>Microsoft Office Word</Application>
  <DocSecurity>0</DocSecurity>
  <Lines>548</Lines>
  <Paragraphs>153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Zur</dc:creator>
  <cp:keywords/>
  <dc:description/>
  <cp:lastModifiedBy>Marta Zur</cp:lastModifiedBy>
  <cp:revision>6</cp:revision>
  <dcterms:created xsi:type="dcterms:W3CDTF">2026-06-09T14:23:00Z</dcterms:created>
  <dcterms:modified xsi:type="dcterms:W3CDTF">2026-06-10T07:56:00Z</dcterms:modified>
</cp:coreProperties>
</file>