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DCC8" w14:textId="77777777" w:rsidR="006F77F7" w:rsidRPr="00C52464" w:rsidRDefault="00FB6DDC">
      <w:pPr>
        <w:pStyle w:val="berschrift1"/>
        <w:spacing w:after="26" w:line="259" w:lineRule="auto"/>
        <w:ind w:left="-5"/>
        <w:rPr>
          <w:lang w:val="en-CA"/>
        </w:rPr>
      </w:pPr>
      <w:r w:rsidRPr="00F83ECE">
        <w:t>Chapter 1: Introduction to Ontological Analysis in Social Research</w:t>
      </w:r>
    </w:p>
    <w:p w14:paraId="7E4AD62C" w14:textId="0FE8F2E8" w:rsidR="006F77F7" w:rsidRPr="00C52464" w:rsidRDefault="00FB6DDC">
      <w:pPr>
        <w:pStyle w:val="berschrift2"/>
        <w:spacing w:after="183" w:line="259" w:lineRule="auto"/>
        <w:rPr>
          <w:lang w:val="en-CA"/>
        </w:rPr>
      </w:pPr>
      <w:r w:rsidRPr="00F83ECE">
        <w:t>Introduction</w:t>
      </w:r>
      <w:r w:rsidR="00737D63">
        <w:rPr>
          <w:rStyle w:val="Funotenzeichen"/>
        </w:rPr>
        <w:footnoteReference w:id="2"/>
      </w:r>
    </w:p>
    <w:p w14:paraId="18074DF3" w14:textId="0CE401C2" w:rsidR="007134B7" w:rsidRPr="007134B7" w:rsidRDefault="007134B7" w:rsidP="006C14D7">
      <w:pPr>
        <w:spacing w:before="100" w:beforeAutospacing="1" w:after="100" w:afterAutospacing="1"/>
        <w:rPr>
          <w:lang w:val="en-CA"/>
        </w:rPr>
      </w:pPr>
      <w:commentRangeStart w:id="0"/>
      <w:commentRangeStart w:id="1"/>
      <w:r>
        <w:rPr>
          <w:lang w:val="en-CA"/>
        </w:rPr>
        <w:t>Consider a situation that will be familiar to anyone who has spent time in the literature of a</w:t>
      </w:r>
      <w:r w:rsidR="00F83ECE">
        <w:rPr>
          <w:lang w:val="en-CA"/>
        </w:rPr>
        <w:t>ny</w:t>
      </w:r>
      <w:r>
        <w:rPr>
          <w:lang w:val="en-CA"/>
        </w:rPr>
        <w:t xml:space="preserve"> contested field. Two research teams investigate the same phenomenon — say, the persistence of educational inequality — and both </w:t>
      </w:r>
      <w:r w:rsidR="00F83ECE">
        <w:rPr>
          <w:lang w:val="en-CA"/>
        </w:rPr>
        <w:t xml:space="preserve">seemingly </w:t>
      </w:r>
      <w:r>
        <w:rPr>
          <w:lang w:val="en-CA"/>
        </w:rPr>
        <w:t>do everything right. Both draw on adequate samples, employ validated instruments, apply methods appropriate to their data, and situate their findings within established theoretical traditions. One concludes that inequality is reproduced primarily through the unequal distribution of material resources: underfunded schools, precarious household incomes, differential access to the infrastructures of educational success. The other concludes that cultural frameworks and meaning-making practices are decisive: that the dispositions, expectations, and classificatory schemes children carry into classrooms are what determine outcomes, largely independently of resource levels. Both findings are well-supported. Both teams can defend every methodological decision. And yet their conclusions appear to be in direct contradiction.</w:t>
      </w:r>
      <w:commentRangeEnd w:id="0"/>
      <w:r w:rsidR="00F83ECE">
        <w:rPr>
          <w:rStyle w:val="Kommentarzeichen"/>
        </w:rPr>
        <w:commentReference w:id="0"/>
      </w:r>
      <w:commentRangeEnd w:id="1"/>
      <w:r w:rsidR="00611AB5">
        <w:rPr>
          <w:rStyle w:val="Kommentarzeichen"/>
        </w:rPr>
        <w:commentReference w:id="1"/>
      </w:r>
    </w:p>
    <w:p w14:paraId="6B460F68" w14:textId="77777777" w:rsidR="007134B7" w:rsidRPr="007134B7" w:rsidRDefault="007134B7" w:rsidP="006C14D7">
      <w:pPr>
        <w:spacing w:before="100" w:beforeAutospacing="1" w:after="100" w:afterAutospacing="1"/>
        <w:rPr>
          <w:lang w:val="en-CA"/>
        </w:rPr>
      </w:pPr>
      <w:r>
        <w:rPr>
          <w:lang w:val="en-CA"/>
        </w:rPr>
        <w:t>The standard response to this situation is adversarial. Each side searches for the flaw in the other's design — a sampling bias, a confounded variable, an analytical sleight of hand — on the assumption that one study must simply be wrong. The quantitative researcher charges the qualitative study with subjectivity, insufficient generalisability, and the undue influence of the researcher's own interpretive framework. The qualitative researcher charges the quantitative study with reductionism, with flattening the complexity of lived experience into variables that bear no resemblance to the social processes they purport to measure. Both charges carry some weight. Neither resolves the disagreement. And so the field accumulates contradictory findings, researchers retreat into the assurance that their own methods followed established norms and therefore carry analytical merit, and the deeper question — why do equally rigorous studies produce incompatible conclusions? — goes largely unasked. The replication crisis across the social sciences has made this problem impossible to ignore: a substantial proportion of published findings, produced by competent researchers following field-standard procedures, fail to reproduce under equivalent conditions. Methodological refinement alone has not resolved this, because the problem does not originate at the methodological level.</w:t>
      </w:r>
    </w:p>
    <w:p w14:paraId="79CA0875" w14:textId="77777777" w:rsidR="007134B7" w:rsidRPr="00743BA0" w:rsidRDefault="00FB6DDC" w:rsidP="006C14D7">
      <w:pPr>
        <w:spacing w:before="100" w:beforeAutospacing="1" w:after="100" w:afterAutospacing="1"/>
        <w:rPr>
          <w:lang w:val="en-CA"/>
        </w:rPr>
      </w:pPr>
      <w:r>
        <w:rPr>
          <w:lang w:val="en-CA"/>
        </w:rPr>
        <w:t xml:space="preserve">This book proposes that many of the most persistent disagreements in social research are not errors to be corrected but the surface expression of deeper differences in how researchers understand the nature of social reality itself. When one study finds that material conditions are causally primary and another finds that meanings and interpretations are, the disagreement is unlikely to be settled by better sampling or more sophisticated analysis. It reflects a prior and largely unexamined question: what kind of thing is social reality, and what does it therefore require of any investigation that claims to understand it? These are ontological questions, and the argument developed throughout this book is that making them explicit is not a </w:t>
      </w:r>
      <w:r>
        <w:rPr>
          <w:lang w:val="en-CA"/>
        </w:rPr>
        <w:lastRenderedPageBreak/>
        <w:t>philosophical luxury reserved for theorists but a practical necessity for any researcher who wants to understand not only what their findings show, but why those findings look the way they do and what they are incapable of showing.</w:t>
      </w:r>
    </w:p>
    <w:p w14:paraId="56B35E1F" w14:textId="77777777" w:rsidR="006F77F7" w:rsidRPr="00C52464" w:rsidRDefault="00F246E8" w:rsidP="006C14D7">
      <w:pPr>
        <w:ind w:left="-5"/>
        <w:rPr>
          <w:lang w:val="en-CA"/>
        </w:rPr>
      </w:pPr>
      <w:r>
        <w:rPr>
          <w:lang w:val="en-CA"/>
        </w:rPr>
        <w:t>Responding to this challenge requires a different starting point from that offered by most traditional research methods textbooks. Rather than beginning with the research cycle, data collection techniques or analytical procedures, it starts with fundamental philosophical questions about the nature of social reality itself. This approach reflects a conviction that methodological choices (decisions about what to study, how to study it, and what would count as adequate evidence) cannot be separated from deeper ontological commitments about what exists in the social world and how different aspects of social reality relate to each other. Traditional methods texts often treat these philosophical foundations as either irrelevant to practical research or as settled matters requiring no sustained examination, leaving them implicit in research practice. This book argues instead that ontological awareness constitutes essential preparation for sophisticated social research, enabling both critical evaluation of existing studies and informed development of new research.</w:t>
      </w:r>
    </w:p>
    <w:p w14:paraId="3A2EC193" w14:textId="77777777" w:rsidR="006F77F7" w:rsidRPr="00C52464" w:rsidRDefault="00FB6DDC">
      <w:pPr>
        <w:spacing w:after="255"/>
        <w:ind w:left="-5"/>
        <w:rPr>
          <w:lang w:val="en-CA"/>
        </w:rPr>
      </w:pPr>
      <w:r>
        <w:rPr>
          <w:lang w:val="en-CA"/>
        </w:rPr>
        <w:t xml:space="preserve">The chapters that follow develop systematic frameworks for ontological analysis through careful examination of four fundamental debates that shape how researchers approach social phenomena: </w:t>
      </w:r>
    </w:p>
    <w:p w14:paraId="2EC4F6FA" w14:textId="77777777" w:rsidR="006F77F7" w:rsidRPr="00C52464" w:rsidRDefault="00FB6DDC">
      <w:pPr>
        <w:numPr>
          <w:ilvl w:val="0"/>
          <w:numId w:val="1"/>
        </w:numPr>
        <w:spacing w:after="19"/>
        <w:ind w:hanging="360"/>
        <w:rPr>
          <w:lang w:val="en-CA"/>
        </w:rPr>
      </w:pPr>
      <w:r>
        <w:rPr>
          <w:lang w:val="en-CA"/>
        </w:rPr>
        <w:t>the fundamental units of social analysis (</w:t>
      </w:r>
      <w:r>
        <w:rPr>
          <w:b/>
          <w:lang w:val="en-CA"/>
        </w:rPr>
        <w:t>individuals versus groups</w:t>
      </w:r>
      <w:r>
        <w:rPr>
          <w:lang w:val="en-CA"/>
        </w:rPr>
        <w:t xml:space="preserve">), </w:t>
      </w:r>
    </w:p>
    <w:p w14:paraId="55438EBD" w14:textId="77777777" w:rsidR="006F77F7" w:rsidRPr="00C52464" w:rsidRDefault="00FB6DDC">
      <w:pPr>
        <w:numPr>
          <w:ilvl w:val="0"/>
          <w:numId w:val="1"/>
        </w:numPr>
        <w:spacing w:after="20"/>
        <w:ind w:hanging="360"/>
        <w:rPr>
          <w:lang w:val="en-CA"/>
        </w:rPr>
      </w:pPr>
      <w:r>
        <w:rPr>
          <w:lang w:val="en-CA"/>
        </w:rPr>
        <w:t>how social arrangements relate to human action (</w:t>
      </w:r>
      <w:r>
        <w:rPr>
          <w:b/>
          <w:lang w:val="en-CA"/>
        </w:rPr>
        <w:t>structure versus agency</w:t>
      </w:r>
      <w:r>
        <w:rPr>
          <w:lang w:val="en-CA"/>
        </w:rPr>
        <w:t xml:space="preserve">), </w:t>
      </w:r>
    </w:p>
    <w:p w14:paraId="1BC7D229" w14:textId="77777777" w:rsidR="006F77F7" w:rsidRPr="00C52464" w:rsidRDefault="00FB6DDC">
      <w:pPr>
        <w:numPr>
          <w:ilvl w:val="0"/>
          <w:numId w:val="1"/>
        </w:numPr>
        <w:spacing w:after="26" w:line="259" w:lineRule="auto"/>
        <w:ind w:hanging="360"/>
        <w:rPr>
          <w:lang w:val="en-CA"/>
        </w:rPr>
      </w:pPr>
      <w:r>
        <w:rPr>
          <w:lang w:val="en-CA"/>
        </w:rPr>
        <w:t>what drives social reality (</w:t>
      </w:r>
      <w:r>
        <w:rPr>
          <w:b/>
          <w:lang w:val="en-CA"/>
        </w:rPr>
        <w:t>material versus ideational factors</w:t>
      </w:r>
      <w:r>
        <w:rPr>
          <w:lang w:val="en-CA"/>
        </w:rPr>
        <w:t xml:space="preserve">), </w:t>
      </w:r>
    </w:p>
    <w:p w14:paraId="5BD63F24" w14:textId="77777777" w:rsidR="005D3640" w:rsidRDefault="00FB6DDC">
      <w:pPr>
        <w:numPr>
          <w:ilvl w:val="0"/>
          <w:numId w:val="1"/>
        </w:numPr>
        <w:ind w:hanging="360"/>
        <w:rPr>
          <w:lang w:val="en-CA"/>
        </w:rPr>
      </w:pPr>
      <w:r>
        <w:rPr>
          <w:lang w:val="en-CA"/>
        </w:rPr>
        <w:t>and whether explanations transcend contexts or remain historically specific (</w:t>
      </w:r>
      <w:r>
        <w:rPr>
          <w:b/>
          <w:lang w:val="en-CA"/>
        </w:rPr>
        <w:t>transcendence versus immanence</w:t>
      </w:r>
      <w:r>
        <w:rPr>
          <w:lang w:val="en-CA"/>
        </w:rPr>
        <w:t xml:space="preserve">). </w:t>
      </w:r>
    </w:p>
    <w:p w14:paraId="45413686" w14:textId="77777777" w:rsidR="006F77F7" w:rsidRPr="00C52464" w:rsidRDefault="00FB6DDC" w:rsidP="005D3640">
      <w:pPr>
        <w:rPr>
          <w:lang w:val="en-CA"/>
        </w:rPr>
      </w:pPr>
      <w:r>
        <w:rPr>
          <w:lang w:val="en-CA"/>
        </w:rPr>
        <w:t>These debates emerged not from abstract philosophical speculation but from persistent tensions in how researchers actually investigate social life. Understanding them provides analytical tools for recognizing often-hidden assumptions that shape research practice while clarifying what different philosophical commitments make possible and what they constrain.</w:t>
      </w:r>
    </w:p>
    <w:p w14:paraId="71D5827A" w14:textId="77777777" w:rsidR="006F77F7" w:rsidRPr="00C52464" w:rsidRDefault="00FB6DDC">
      <w:pPr>
        <w:ind w:left="-5"/>
        <w:rPr>
          <w:lang w:val="en-CA"/>
        </w:rPr>
      </w:pPr>
      <w:r>
        <w:rPr>
          <w:lang w:val="en-CA"/>
        </w:rPr>
        <w:t xml:space="preserve">Beyond these four debates, this book addresses additional dimensions (time, space, causality, and power) of social ontology that prove essential for adequate social explanation yet often remain implicit in research practice. </w:t>
      </w:r>
      <w:r>
        <w:rPr>
          <w:b/>
          <w:lang w:val="en-CA"/>
        </w:rPr>
        <w:t>Time</w:t>
      </w:r>
      <w:r>
        <w:rPr>
          <w:lang w:val="en-CA"/>
        </w:rPr>
        <w:t xml:space="preserve"> operates in social life not simply as a backdrop against which events unfold but through complex modes that make the past present within current arrangements in ways that transcend simple before-and-after sequences. </w:t>
      </w:r>
      <w:r>
        <w:rPr>
          <w:b/>
          <w:lang w:val="en-CA"/>
        </w:rPr>
        <w:t>Space</w:t>
      </w:r>
      <w:r>
        <w:rPr>
          <w:lang w:val="en-CA"/>
        </w:rPr>
        <w:t xml:space="preserve"> shapes social processes not merely as a neutral container or context but as an actively produced dimension that both reflects and reproduces social relationships and power arrangements. Similarly,</w:t>
      </w:r>
      <w:r>
        <w:rPr>
          <w:b/>
          <w:bCs/>
          <w:lang w:val="en-CA"/>
        </w:rPr>
        <w:t>c</w:t>
      </w:r>
      <w:r>
        <w:rPr>
          <w:b/>
          <w:lang w:val="en-CA"/>
        </w:rPr>
        <w:t>ausality</w:t>
      </w:r>
      <w:r>
        <w:rPr>
          <w:lang w:val="en-CA"/>
        </w:rPr>
        <w:t xml:space="preserve"> in social phenomena cannot be reduced to simple cause-and-effect relationships but operates through mechanisms, tendencies, and emergent properties that require sophisticated analytical frameworks to understand adequately. The last dimension is </w:t>
      </w:r>
      <w:r>
        <w:rPr>
          <w:b/>
          <w:bCs/>
          <w:lang w:val="en-CA"/>
        </w:rPr>
        <w:t>p</w:t>
      </w:r>
      <w:r>
        <w:rPr>
          <w:b/>
          <w:lang w:val="en-CA"/>
        </w:rPr>
        <w:t>ower</w:t>
      </w:r>
      <w:r>
        <w:rPr>
          <w:bCs/>
          <w:lang w:val="en-CA"/>
        </w:rPr>
        <w:t>, which</w:t>
      </w:r>
      <w:r>
        <w:rPr>
          <w:lang w:val="en-CA"/>
        </w:rPr>
        <w:t xml:space="preserve"> functions as both force and inertia, and can also be described as the tendency of social arrangements to maintain and reproduce themselves, operating through these temporal, </w:t>
      </w:r>
      <w:r>
        <w:rPr>
          <w:lang w:val="en-CA"/>
        </w:rPr>
        <w:lastRenderedPageBreak/>
        <w:t xml:space="preserve">spatial, and causal dimensions in ways that are often invisible but nonetheless profoundly shape social possibilities. This will be discussed more fully in Chapter 9. </w:t>
      </w:r>
    </w:p>
    <w:p w14:paraId="26FB6D52" w14:textId="77777777" w:rsidR="006F77F7" w:rsidRPr="00C52464" w:rsidRDefault="00FB6DDC">
      <w:pPr>
        <w:spacing w:after="565"/>
        <w:ind w:left="-5"/>
        <w:rPr>
          <w:lang w:val="en-CA"/>
        </w:rPr>
      </w:pPr>
      <w:r>
        <w:rPr>
          <w:lang w:val="en-CA"/>
        </w:rPr>
        <w:t>This introductory chapter establishes why ontological analysis matters for social research and provides philosophical context showing how fundamental questions about reality and knowledge generate the contemporary debates that make ontological awareness necessary. The chapter then introduces the analytical framework structuring subsequent analysis while clarifying how ontological awareness enables both more sophisticated engagement with existing research and more informed choices about positioning your own investigations. This foundation prepares you for the detailed examination of the specific debates and analytical tools developed in the chapters that follow.</w:t>
      </w:r>
    </w:p>
    <w:p w14:paraId="169DA4F4" w14:textId="77777777" w:rsidR="006F77F7" w:rsidRPr="00C52464" w:rsidRDefault="00FB6DDC">
      <w:pPr>
        <w:pStyle w:val="berschrift2"/>
        <w:spacing w:after="448" w:line="275" w:lineRule="auto"/>
        <w:ind w:left="-5"/>
        <w:rPr>
          <w:lang w:val="en-CA"/>
        </w:rPr>
      </w:pPr>
      <w:r w:rsidRPr="00F83ECE">
        <w:t>1.1 What is Ontology and Why Does It Matter for Social Research?</w:t>
      </w:r>
    </w:p>
    <w:p w14:paraId="38CDE707" w14:textId="77777777" w:rsidR="006F77F7" w:rsidRPr="00C52464" w:rsidRDefault="00FB6DDC">
      <w:pPr>
        <w:ind w:left="-5"/>
        <w:rPr>
          <w:lang w:val="en-CA"/>
        </w:rPr>
      </w:pPr>
      <w:r>
        <w:rPr>
          <w:b/>
          <w:lang w:val="en-CA"/>
        </w:rPr>
        <w:t>Ontology</w:t>
      </w:r>
      <w:r>
        <w:rPr>
          <w:lang w:val="en-CA"/>
        </w:rPr>
        <w:t xml:space="preserve">, derived from the Greek </w:t>
      </w:r>
      <w:r>
        <w:rPr>
          <w:i/>
          <w:lang w:val="en-CA"/>
        </w:rPr>
        <w:t>on</w:t>
      </w:r>
      <w:r>
        <w:rPr>
          <w:lang w:val="en-CA"/>
        </w:rPr>
        <w:t xml:space="preserve"> (being) and </w:t>
      </w:r>
      <w:r>
        <w:rPr>
          <w:i/>
          <w:lang w:val="en-CA"/>
        </w:rPr>
        <w:t>logos</w:t>
      </w:r>
      <w:r>
        <w:rPr>
          <w:lang w:val="en-CA"/>
        </w:rPr>
        <w:t xml:space="preserve"> (study), addresses fundamental questions about what exists and how different aspects of reality relate to each other. In philosophy more broadly, ontology concerns the nature of being itself: what kinds of entities exist, what properties they possess, and how they interact to constitute the reality we inhabit and attempt to understand. Social ontology specifically addresses questions about the nature of social reality: for example, do individual human beings constitute the fundamental units of social life, or do social groups, institutions, and cultures have properties and causal powers that cannot be reduced to individual characteristics? Are social structures external constraints that determine individual behavior, or do human actions continuously create and recreate social arrangements? Can social phenomena be explained through universal patterns that transcend particular contexts, or is social reality fundamentally context-dependent and historically specific?</w:t>
      </w:r>
    </w:p>
    <w:p w14:paraId="4E24CED5" w14:textId="77777777" w:rsidR="006F77F7" w:rsidRPr="00C52464" w:rsidRDefault="00FB6DDC">
      <w:pPr>
        <w:ind w:left="-5"/>
        <w:rPr>
          <w:lang w:val="en-CA"/>
        </w:rPr>
      </w:pPr>
      <w:r>
        <w:rPr>
          <w:lang w:val="en-CA"/>
        </w:rPr>
        <w:t xml:space="preserve">These ontological questions matter profoundly for social research because how we answer them, whether explicitly or implicitly, determines what we study, how we design research projects, what methods we employ, what counts as adequate evidence, and how we interpret findings. Every research design embeds ontological commitments, whether researchers recognize them or not. For example, choosing to </w:t>
      </w:r>
      <w:r>
        <w:rPr>
          <w:i/>
          <w:lang w:val="en-CA"/>
        </w:rPr>
        <w:t>survey</w:t>
      </w:r>
      <w:r>
        <w:rPr>
          <w:lang w:val="en-CA"/>
        </w:rPr>
        <w:t xml:space="preserve"> individuals about their attitudes and behaviors reflects assumptions that individual characteristics constitute appropriate units of analysis and that aggregating individual responses can generate knowledge about social phenomena. In contrast, choosing to </w:t>
      </w:r>
      <w:r>
        <w:rPr>
          <w:i/>
          <w:lang w:val="en-CA"/>
        </w:rPr>
        <w:t>ethnographically observe</w:t>
      </w:r>
      <w:r>
        <w:rPr>
          <w:lang w:val="en-CA"/>
        </w:rPr>
        <w:t xml:space="preserve"> organizational cultures reflects assumptions that collective arrangements have emergent properties requiring analysis at the group level rather than reduction to individual psychology. </w:t>
      </w:r>
    </w:p>
    <w:p w14:paraId="751FB2AB" w14:textId="77777777" w:rsidR="006F77F7" w:rsidRPr="00C52464" w:rsidRDefault="00FB6DDC">
      <w:pPr>
        <w:ind w:left="-5"/>
        <w:rPr>
          <w:lang w:val="en-CA"/>
        </w:rPr>
      </w:pPr>
      <w:r>
        <w:rPr>
          <w:lang w:val="en-CA"/>
        </w:rPr>
        <w:t xml:space="preserve">The problem is that these ontological commitments often remain implicit, inherited unconsciously from disciplinary training, methodological traditions, or theoretical frameworks, without systematic reflection on their implications. Consider, for example, how economics as a discipline embeds particular ontological commitments that shape its approach to social phenomena. Economics treats individual economic actors (e.g. consumers, firms, </w:t>
      </w:r>
      <w:r>
        <w:rPr>
          <w:lang w:val="en-CA"/>
        </w:rPr>
        <w:lastRenderedPageBreak/>
        <w:t xml:space="preserve">workers) as its fundamental units of analysis, collecting data about individual preferences, choices, and behaviors through surveys, experiments, and market observations. These individual-level data are then aggregated through statistical analysis and mathematical modeling to explain collective economic phenomena like market prices, employment rates, or economic growth. This methodological approach reflects deep ontological assumptions: that autonomous individuals constitute the primary reality requiring investigation, that collective economic patterns emerge from individual decision-making guided by rational self-interest, and that adequate explanation works by showing how individual choices aggregate to produce observable market outcomes. While economics has developed increasing sophistication in analyzing how institutions, social norms, and psychological factors shape individual behavior, its core analytical framework maintains individualist ontological commitments about where explanatory power ultimately resides. These commitments are not arbitrary methodological preferences but reflect fundamental philosophical assumptions about the nature of economic reality itself (Lawson, 1997). </w:t>
      </w:r>
    </w:p>
    <w:p w14:paraId="5C163C89" w14:textId="77777777" w:rsidR="006F77F7" w:rsidRPr="00C52464" w:rsidRDefault="00FB6DDC">
      <w:pPr>
        <w:ind w:left="-5"/>
        <w:rPr>
          <w:lang w:val="en-CA"/>
        </w:rPr>
      </w:pPr>
      <w:r>
        <w:rPr>
          <w:lang w:val="en-CA"/>
        </w:rPr>
        <w:t>Sociology, on the other hand, developed primarily through a collectivist ontology that treats social structures, cultural patterns, and institutional arrangements as having causal powers independent of individual psychology. Psychology focuses predominantly on individual-level cognitive and behavioral mechanisms while treating social contexts as external influences. Political science exhibits ongoing tension between individualist approaches examining voting behavior and public opinion versus collectivist approaches analyzing institutional arrangements and power structures. These disciplinary differences reflect deep ontological commitments about where causal power resides in social reality and what kinds of entities and processes require investigation (Archer, 1995; Bhaskar, 1979).</w:t>
      </w:r>
    </w:p>
    <w:p w14:paraId="5C1D3BB2" w14:textId="77777777" w:rsidR="006F77F7" w:rsidRPr="00C52464" w:rsidRDefault="00FB6DDC">
      <w:pPr>
        <w:ind w:left="-5"/>
        <w:rPr>
          <w:lang w:val="en-CA"/>
        </w:rPr>
      </w:pPr>
      <w:r>
        <w:rPr>
          <w:lang w:val="en-CA"/>
        </w:rPr>
        <w:t>Understanding these ontological foundations enables two essential practices that together constitute what we call ontological situating. First, ontological analysis provides critical tools for reading existing research by revealing often-hidden philosophical commitments that shape how studies are designed and interpreted. When research concludes that educational inequality results from individual motivation and family background, ontological analysis reveals multiple ontological commitments operating simultaneously: assumptions about individuals as fundamental units rather than institutional arrangements (individuals-groups debate), emphasis on individual agency and choice rather than structural constraints (structure-agency debate), focus on measurable achievement factors rather than cultural meanings of education (material-ideational debate), and a search for universal predictors rather than context-specific mechanisms (transcendence-immanence debate). This recognition does not automatically invalidate the research but clarifies its theoretical limitations and blind spots.</w:t>
      </w:r>
    </w:p>
    <w:p w14:paraId="6887F307" w14:textId="77777777" w:rsidR="006F77F7" w:rsidRPr="00C52464" w:rsidRDefault="00FB6DDC">
      <w:pPr>
        <w:ind w:left="-5"/>
        <w:rPr>
          <w:lang w:val="en-CA"/>
        </w:rPr>
      </w:pPr>
      <w:r>
        <w:rPr>
          <w:lang w:val="en-CA"/>
        </w:rPr>
        <w:t xml:space="preserve">Second, ontological analysis enables informed choices about positioning your own research by clarifying what different philosophical commitments make possible and what they constrain. Rather than unconsciously adopting positions from disciplinary training, you can deliberately choose approaches aligning with your research questions and phenomena under investigation. Choices relating to your positioning operate across multiple debates simultaneously: choosing </w:t>
      </w:r>
      <w:r>
        <w:rPr>
          <w:i/>
          <w:lang w:val="en-CA"/>
        </w:rPr>
        <w:t>individualist</w:t>
      </w:r>
      <w:r>
        <w:rPr>
          <w:lang w:val="en-CA"/>
        </w:rPr>
        <w:t xml:space="preserve"> over </w:t>
      </w:r>
      <w:r>
        <w:rPr>
          <w:i/>
          <w:lang w:val="en-CA"/>
        </w:rPr>
        <w:t>collectivist</w:t>
      </w:r>
      <w:r>
        <w:rPr>
          <w:lang w:val="en-CA"/>
        </w:rPr>
        <w:t xml:space="preserve"> approaches shapes attention toward </w:t>
      </w:r>
      <w:r>
        <w:rPr>
          <w:lang w:val="en-CA"/>
        </w:rPr>
        <w:lastRenderedPageBreak/>
        <w:t xml:space="preserve">personal characteristics versus institutional patterns; choosing </w:t>
      </w:r>
      <w:r>
        <w:rPr>
          <w:i/>
          <w:lang w:val="en-CA"/>
        </w:rPr>
        <w:t>agency-oriented</w:t>
      </w:r>
      <w:r>
        <w:rPr>
          <w:lang w:val="en-CA"/>
        </w:rPr>
        <w:t xml:space="preserve"> over </w:t>
      </w:r>
      <w:r>
        <w:rPr>
          <w:i/>
          <w:lang w:val="en-CA"/>
        </w:rPr>
        <w:t>structure-oriented</w:t>
      </w:r>
      <w:r>
        <w:rPr>
          <w:lang w:val="en-CA"/>
        </w:rPr>
        <w:t xml:space="preserve"> approaches emphasizes human choice and innovation versus constraints and reproduction; choosing </w:t>
      </w:r>
      <w:r>
        <w:rPr>
          <w:i/>
          <w:lang w:val="en-CA"/>
        </w:rPr>
        <w:t>materialist</w:t>
      </w:r>
      <w:r>
        <w:rPr>
          <w:lang w:val="en-CA"/>
        </w:rPr>
        <w:t xml:space="preserve"> over </w:t>
      </w:r>
      <w:r>
        <w:rPr>
          <w:i/>
          <w:lang w:val="en-CA"/>
        </w:rPr>
        <w:t>ideational</w:t>
      </w:r>
      <w:r>
        <w:rPr>
          <w:lang w:val="en-CA"/>
        </w:rPr>
        <w:t xml:space="preserve"> approaches privileges economic conditions and resources versus cultural meanings and interpretations; choosing </w:t>
      </w:r>
      <w:r>
        <w:rPr>
          <w:i/>
          <w:lang w:val="en-CA"/>
        </w:rPr>
        <w:t>universalist</w:t>
      </w:r>
      <w:r>
        <w:rPr>
          <w:lang w:val="en-CA"/>
        </w:rPr>
        <w:t xml:space="preserve"> over </w:t>
      </w:r>
      <w:r>
        <w:rPr>
          <w:i/>
          <w:lang w:val="en-CA"/>
        </w:rPr>
        <w:t>particularist</w:t>
      </w:r>
      <w:r>
        <w:rPr>
          <w:lang w:val="en-CA"/>
        </w:rPr>
        <w:t xml:space="preserve"> approaches seeks general patterns versus context-specific mechanisms. Each positioning choice enables investigation of certain phenomena while constraining others: for example, research emphasizing individual agency can investigate how people creatively respond to constraints but may miss how structural arrangements systematically limit possibilities, while research focusing on material conditions can trace resource distributions but may overlook how meanings constitute what counts as a resource. These choices should be grounded in systematic analysis of whether particular mechanisms can adequately account for patterns you aim to explain rather than in methodological preferences or disciplinary conventions (Sayer, 2000).</w:t>
      </w:r>
    </w:p>
    <w:p w14:paraId="42834BCE" w14:textId="77777777" w:rsidR="006F77F7" w:rsidRPr="00C52464" w:rsidRDefault="00FB6DDC">
      <w:pPr>
        <w:ind w:left="-5"/>
        <w:rPr>
          <w:lang w:val="en-CA"/>
        </w:rPr>
      </w:pPr>
      <w:r>
        <w:rPr>
          <w:lang w:val="en-CA"/>
        </w:rPr>
        <w:t>But why invest substantial effort in developing ontological sophistication? Why not simply adopt methodological approaches that seem to work in practice without worrying about underlying philosophical commitments? Several considerations justify the analytical work this book undertakes. First, ontological awareness prevents conceptual confusion and theoretical incoherence that undermine research quality. Research that unconsciously combines incompatible ontological assumptions, like treating individuals as fundamental units while also claiming collective properties operate independently, generates contradictions that appear as empirical puzzles but actually reflect philosophical confusion. Ontological clarity enables recognition of when such contradictions signal genuine integration attempts versus when they indicate theoretical problems requiring resolution (Archer, 1995).</w:t>
      </w:r>
    </w:p>
    <w:p w14:paraId="41FFE5C4" w14:textId="77777777" w:rsidR="006F77F7" w:rsidRPr="00C52464" w:rsidRDefault="00FB6DDC">
      <w:pPr>
        <w:ind w:left="-5"/>
        <w:rPr>
          <w:lang w:val="en-CA"/>
        </w:rPr>
      </w:pPr>
      <w:r>
        <w:rPr>
          <w:lang w:val="en-CA"/>
        </w:rPr>
        <w:t>Furthermore, ontological analysis enables recognition that competing research findings about the same phenomena often reflect different philosophical starting points rather than contradictory empirical evidence. When one study concludes poverty results from individual characteristics while another concludes it results from structural inequalities, these differences typically reflect ontological commitments shaping what each study examines and how it interprets evidence. Ontological awareness helps researchers, policymakers, and practitioners understand why different approaches generate different recommendations and how insights from multiple perspectives might be integrated rather than simply choosing between them based on ideological preferences (Danermark et al., 2002; Sayer, 2000).</w:t>
      </w:r>
    </w:p>
    <w:p w14:paraId="111E786E" w14:textId="77777777" w:rsidR="006F77F7" w:rsidRPr="00C52464" w:rsidRDefault="00FB6DDC">
      <w:pPr>
        <w:ind w:left="-5"/>
        <w:rPr>
          <w:lang w:val="en-CA"/>
        </w:rPr>
      </w:pPr>
      <w:r>
        <w:rPr>
          <w:lang w:val="en-CA"/>
        </w:rPr>
        <w:t>Third, making ontological commitments explicit is itself a way of refining our understanding of reality and approaching what can be known in the social world. Social reality operates through multiple dimensions (individuals and collectives, structures and agency, material conditions and meaningful interpretations, universal mechanisms and contextual specificities) that interact in complex ways. Careful ontological analysis helps identify which dimensions matter most for particular phenomena and how they interact, thereby developing more adequate explanations that capture genuine complexity rather than reducing it through premature simplification. This refinement represents genuine progress in social understanding, not through discovering final truths but through developing theories and methods that better capture how social reality actually operates (Bhaskar, 1975, 1979).</w:t>
      </w:r>
    </w:p>
    <w:p w14:paraId="58FEE0D6" w14:textId="77777777" w:rsidR="006F77F7" w:rsidRPr="00C52464" w:rsidRDefault="00FB6DDC">
      <w:pPr>
        <w:spacing w:after="644"/>
        <w:ind w:left="-5"/>
        <w:rPr>
          <w:lang w:val="en-CA"/>
        </w:rPr>
      </w:pPr>
      <w:r>
        <w:rPr>
          <w:lang w:val="en-CA"/>
        </w:rPr>
        <w:lastRenderedPageBreak/>
        <w:t>This book will introduce four fundamental ontological debates: individuals versus groups (Chapter 5), structure versus agency (Chapter 6), material versus ideational (Chapter 7), and transcendence versus immanence (Chapter 8) that provide analytical tools for systematic ontological analysis. These debates emerged from examining persistent tensions in how researchers approach social phenomena rather than from abstract philosophical derivation. Additionally, the book addresses how to study temporal complexity (how time operates in social life beyond simple chronology), spatial relationships (how space shapes and is shaped by social processes), causality (how causal mechanisms operate in open social systems), and power (how social arrangements maintain and reproduce themselves). Understanding these dimensions together enables sophisticated ontological analysis supporting both critical engagement with existing research and informed development of new investigations. The remainder of this chapter establishes philosophical foundations necessary for this analytical work, showing how fundamental questions about reality and knowledge generate contemporary debates that make ontological awareness essential for social research.</w:t>
      </w:r>
    </w:p>
    <w:p w14:paraId="45045985" w14:textId="77777777" w:rsidR="006F77F7" w:rsidRPr="00C52464" w:rsidRDefault="00FB6DDC">
      <w:pPr>
        <w:pStyle w:val="berschrift2"/>
        <w:spacing w:after="0"/>
        <w:ind w:left="-5"/>
        <w:rPr>
          <w:lang w:val="en-CA"/>
        </w:rPr>
      </w:pPr>
      <w:r w:rsidRPr="00F83ECE">
        <w:t>1.2 The Empiricist Challenge and the Kantian Response: Why Ontology Became Necessary</w:t>
      </w:r>
    </w:p>
    <w:p w14:paraId="52EB0CBF" w14:textId="77777777" w:rsidR="006F77F7" w:rsidRPr="00C52464" w:rsidRDefault="00FB6DDC">
      <w:pPr>
        <w:ind w:left="-5"/>
        <w:rPr>
          <w:lang w:val="en-CA"/>
        </w:rPr>
      </w:pPr>
      <w:r>
        <w:rPr>
          <w:lang w:val="en-CA"/>
        </w:rPr>
        <w:t>To understand why ontological analysis matters for contemporary social research, we must examine a crucial philosophical development that transformed how we think about the relationship between reality and knowledge. This development begins with empiricism's challenge to whether we can have genuine knowledge of reality beyond immediate experience, continues through Kant's attempt to rescue the possibility of knowledge while fundamentally reconceiving its nature, and culminates in contemporary debates about whether reality exists independently of our theories and methods for studying it. Understanding this philosophical trajectory clarifies why researchers cannot simply adopt methods that "work" without examining deeper ontological assumptions. The question of what exists and how we can know it became unavoidable once philosophers recognized that the relationship between reality and knowledge is more complex than it initially appears.</w:t>
      </w:r>
    </w:p>
    <w:p w14:paraId="1E54D587" w14:textId="77777777" w:rsidR="006F77F7" w:rsidRPr="00C52464" w:rsidRDefault="00FB6DDC">
      <w:pPr>
        <w:ind w:left="-5"/>
        <w:rPr>
          <w:lang w:val="en-CA"/>
        </w:rPr>
      </w:pPr>
      <w:r>
        <w:rPr>
          <w:lang w:val="en-CA"/>
        </w:rPr>
        <w:t xml:space="preserve">The empiricist tradition, developed most systematically by British philosophers in the seventeenth and eighteenth centuries, established that all knowledge derives from sensory experience rather than from innate ideas or pure reason. John Locke's Essay Concerning Human Understanding (1689) argued that the mind begins as a blank slate (tabula rasa) and acquires all knowledge through experience, either through sensation (perception of external objects) or reflection (awareness of mental operations). This empiricist epistemology had profound appeal because it grounded knowledge in something concrete and verifiable (our actual experiences) rather than in abstract speculation or appeals to authority. Locke distinguished between primary qualities (properties that objects really possess, such as extension, motion, and solidity) and secondary qualities (properties that exist only in our perceptual experience, such as colors, sounds, and tastes), but this distinction itself raised troubling questions. If some aspects of our experience reflect real properties of objects while others reflect only how objects affect our senses, how can we determine which is which? </w:t>
      </w:r>
      <w:r>
        <w:rPr>
          <w:lang w:val="en-CA"/>
        </w:rPr>
        <w:lastRenderedPageBreak/>
        <w:t>More fundamentally, how can we verify that our ideas correspond to real objects existing independently of our minds? (Locke, 1689; Ayers, 1991).</w:t>
      </w:r>
    </w:p>
    <w:p w14:paraId="3790633A" w14:textId="77777777" w:rsidR="006B1342" w:rsidRPr="006B1342" w:rsidRDefault="006B1342">
      <w:pPr>
        <w:ind w:left="-5"/>
        <w:rPr>
          <w:lang w:val="en-CA"/>
        </w:rPr>
      </w:pPr>
      <w:r>
        <w:rPr>
          <w:lang w:val="en-CA"/>
        </w:rPr>
        <w:t xml:space="preserve">The empiricist epistemology articulated by Locke did not develop in a philosophical vacuum but was deeply entangled with the scientific revolution that had reshaped European intellectual life across the seventeenth century. The Newtonian mechanics that stood as the crowning achievement of that revolution presupposed a specific and consequential ontology: the natural world was composed of discrete, separable particles, each possessing determinate properties that could be measured and described independently of their relations to other particles, and whose interactions could be fully captured through universal laws of motion. This </w:t>
      </w:r>
      <w:r>
        <w:rPr>
          <w:b/>
          <w:bCs/>
          <w:lang w:val="en-CA"/>
        </w:rPr>
        <w:t>atomist</w:t>
      </w:r>
      <w:r>
        <w:rPr>
          <w:lang w:val="en-CA"/>
        </w:rPr>
        <w:t xml:space="preserve"> ontology, the assumption that complex wholes are nothing over and above the sum of their constituent parts, and that adequate explanation therefore consists in decomposing phenomena into their elementary units, seemed to receive spectacular empirical vindication in Newton's capacity to predict planetary motion, tidal patterns, and the trajectories of projectiles from a small set of precisely stated laws. What atomism displaced was a broadly </w:t>
      </w:r>
      <w:r>
        <w:rPr>
          <w:b/>
          <w:bCs/>
          <w:lang w:val="en-CA"/>
        </w:rPr>
        <w:t>holist</w:t>
      </w:r>
      <w:r>
        <w:rPr>
          <w:lang w:val="en-CA"/>
        </w:rPr>
        <w:t xml:space="preserve"> understanding of nature, rooted in Aristotelian and scholastic thought, according to which particular things could only be understood through their participation in larger wholes, their place within teleological orders, and the essences or forms that constituted their nature; on this view, to explain something was not to decompose it into parts but to locate it within the structured whole to which it belonged (Aristotle, </w:t>
      </w:r>
      <w:r>
        <w:rPr>
          <w:rStyle w:val="Hervorhebung"/>
          <w:lang w:val="en-CA"/>
        </w:rPr>
        <w:t>Physics</w:t>
      </w:r>
      <w:r>
        <w:rPr>
          <w:lang w:val="en-CA"/>
        </w:rPr>
        <w:t>; Toulmin, 1990). The seductiveness of the atomist model for nascent social inquiry was nonetheless considerable: if natural philosophy had achieved such explanatory power by treating the world as composed of discrete, law-governed units, perhaps the social world could be understood by the same method, substituting individual human beings, with their measurable attitudes, preferences, and behaviors, for the particles of classical mechanics. The atomism-holism debate in social research, the question of whether individuals constitute self-sufficient explanatory units or whether social wholes possess properties and causal powers irreducible to those of their parts, originates precisely in this intellectual inheritance (Bhaskar, 1979; Sayer, 2000; Lawson, 1997). It is a debate about ontology, not merely about analytical convenience, and its stakes become fully visible once one recognizes that importing the atomist framework from natural philosophy into social inquiry was a philosophical choice with far-reaching consequences for what social research could and could not see. The causal connections that Newtonian atomism required, the necessary links between discrete units that made prediction and explanation possible, were precisely what Hume demonstrated we could never observe.</w:t>
      </w:r>
    </w:p>
    <w:p w14:paraId="393B70FA" w14:textId="77777777" w:rsidR="006F77F7" w:rsidRPr="00C52464" w:rsidRDefault="00FB6DDC">
      <w:pPr>
        <w:ind w:left="-5"/>
        <w:rPr>
          <w:lang w:val="en-CA"/>
        </w:rPr>
      </w:pPr>
      <w:r>
        <w:rPr>
          <w:lang w:val="en-CA"/>
        </w:rPr>
        <w:t xml:space="preserve">David Hume's philosophical work in the mid-eighteenth century subjected these empiricist assumptions to critique that revealed fundamental problems threatening the possibility of genuine knowledge. In his Treatise of Human Nature (1739-1740) and Enquiry Concerning Human Understanding (1748), Hume demonstrated that if we take empiricism seriously, if all knowledge truly derives from experience, then we cannot justify many beliefs that seem essential for scientific investigation. Most famously, Hume argued that we never observe causal connections between events. When we see one billiard ball strike another and the second ball move, we observe spatial contiguity and temporal succession, but we never </w:t>
      </w:r>
      <w:r>
        <w:rPr>
          <w:lang w:val="en-CA"/>
        </w:rPr>
        <w:lastRenderedPageBreak/>
        <w:t>observe the causal power by which the first ball makes the second move. We simply observe that events of one type regularly follow events of another type, what Hume called "constant conjunction." Our belief in causation reflects psychological habit developed through repeated observations of regular successions, not rational inference from experience or direct observation of necessary connections. This means we cannot know that observed causal regularities will continue to hold in future cases. We simply expect them to continue based on past experience, but this expectation cannot be rationally justified (Hume, 1739-1740, 1748; Stroud, 1977).</w:t>
      </w:r>
    </w:p>
    <w:p w14:paraId="3869F68B" w14:textId="77777777" w:rsidR="006F77F7" w:rsidRPr="00C52464" w:rsidRDefault="00FB6DDC">
      <w:pPr>
        <w:ind w:left="-5"/>
        <w:rPr>
          <w:lang w:val="en-CA"/>
        </w:rPr>
      </w:pPr>
      <w:r>
        <w:rPr>
          <w:lang w:val="en-CA"/>
        </w:rPr>
        <w:t>Similarly, Hume demonstrated that inductive inference (reasoning from observed instances to general laws or unobserved cases) cannot be rationally justified on empiricist grounds. That the sun has risen every day in the past provides no logical guarantee that it will rise tomorrow. Inductive reasoning assumes that the future will resemble the past, or that unobserved cases will resemble observed cases, but these assumptions cannot be proven through either logical analysis or empirical observation. Any attempt to justify induction through experience would itself require inductive reasoning, generating a circular argument. Most radically, Hume questioned whether we can have knowledge of external objects existing independently of our perceptions, or even of a unified self that has experiences. We observe impressions and ideas, mental experiences, but never directly observe the external objects supposedly causing these impressions. How can we know that external objects exist, or that they resemble our ideas of them? Similarly, introspection reveals particular thoughts, feelings, and perceptions, but never a unified self that has these experiences. The self seems to be merely a "bundle of perceptions" rather than a substantial entity underlying experience (Hume, 1739-1740; Garrett, 1997).</w:t>
      </w:r>
    </w:p>
    <w:p w14:paraId="54241686" w14:textId="77777777" w:rsidR="006F77F7" w:rsidRPr="00C52464" w:rsidRDefault="00FB6DDC">
      <w:pPr>
        <w:ind w:left="-5"/>
        <w:rPr>
          <w:lang w:val="en-CA"/>
        </w:rPr>
      </w:pPr>
      <w:r>
        <w:rPr>
          <w:lang w:val="en-CA"/>
        </w:rPr>
        <w:t>Hume's skeptical conclusions threatened the foundations of empiricist epistemology by showing that experience alone cannot justify fundamental beliefs about causation, induction, external objects, or the self that seem necessary for any systematic investigation of reality. If empiricism is correct that all knowledge derives from experience, and if experience cannot justify these fundamental beliefs, then perhaps genuine knowledge is impossible. This skeptical challenge had profound implications for how we think about scientific investigation. If we cannot know that observed causal regularities will continue to hold, how can science make predictions or provide reliable guidance for action? If we cannot justify inductive inferences from observed cases to general laws, how can science develop general theories? These questions made clear that the empiricist program, despite its initial appeal in grounding knowledge in concrete experience, faced fundamental philosophical problems (Stroud, 1977; Fogelin, 1985).</w:t>
      </w:r>
    </w:p>
    <w:p w14:paraId="0780FF54" w14:textId="77777777" w:rsidR="006F77F7" w:rsidRPr="00C52464" w:rsidRDefault="00FB6DDC">
      <w:pPr>
        <w:ind w:left="-5"/>
        <w:rPr>
          <w:lang w:val="en-CA"/>
        </w:rPr>
      </w:pPr>
      <w:r>
        <w:rPr>
          <w:lang w:val="en-CA"/>
        </w:rPr>
        <w:t xml:space="preserve">Immanuel Kant's critical philosophy, developed across his three Critiques (Critique of Pure Reason, 1781; Critique of Practical Reason, 1788; Critique of the Power of Judgment, 1790), attempted to rescue the possibility of genuine knowledge from Hume's skeptical conclusions while fundamentally transforming how we understand the relationship between mind and reality. Kant's famous statement that Hume "awoke me from my dogmatic slumbers" indicates how seriously he took the skeptical challenge. Kant agreed with Hume that experience alone cannot justify knowledge of causation, induction, or external objects, but he rejected Hume's </w:t>
      </w:r>
      <w:r>
        <w:rPr>
          <w:lang w:val="en-CA"/>
        </w:rPr>
        <w:lastRenderedPageBreak/>
        <w:t>conclusion that such knowledge is impossible. Instead, Kant proposed a revolutionary solution: the mind actively structures experience through categories that are not derived from experience but constitute necessary conditions for any possible experience. Space and time are not properties of things as they exist in themselves but rather forms of intuition: ways the mind necessarily organizes sensory input to make experience possible. Causation is not observed in experience but is a category the understanding necessarily imposes on experience to make it intelligible. The unity of the self is not observed through introspection but is a transcendental condition, something that must be presupposed as necessary for having any unified experience at all (Kant, 1781; Guyer, 1992).</w:t>
      </w:r>
    </w:p>
    <w:p w14:paraId="7ACFFB86" w14:textId="77777777" w:rsidR="00341459" w:rsidRPr="00C52464" w:rsidRDefault="00341459">
      <w:pPr>
        <w:ind w:left="-5"/>
        <w:rPr>
          <w:lang w:val="en-CA"/>
        </w:rPr>
      </w:pPr>
      <w:r>
        <w:rPr>
          <w:lang w:val="en-CA"/>
        </w:rPr>
        <w:t>This "Copernican revolution" in philosophy, so called because Kant proposed that objects must conform to our cognitive faculties rather than our cognitive faculties conforming to objects, had profound and complex implications for how we understand the possibility of knowledge. On the one hand, Kant argued that we can have genuine, objective knowledge of phenomena (things as they appear to us), structured by our mental categories. Mathematical knowledge is possible because space and time are forms of intuition that necessarily structure all possible experience. Scientific knowledge is possible because categories like causation necessarily structure how we experience the world. These forms and categories apply necessarily to all possible experience, which is why mathematical and scientific laws have universal validity (Kant, 1781; Allison, 2004).</w:t>
      </w:r>
    </w:p>
    <w:p w14:paraId="17F144DC" w14:textId="77777777" w:rsidR="006F77F7" w:rsidRPr="00C52464" w:rsidRDefault="00FB6DDC">
      <w:pPr>
        <w:ind w:left="-5"/>
        <w:rPr>
          <w:lang w:val="en-CA"/>
        </w:rPr>
      </w:pPr>
      <w:r>
        <w:rPr>
          <w:lang w:val="en-CA"/>
        </w:rPr>
        <w:t xml:space="preserve">However, Kant's solution came with a profound limitation: we can have knowledge only of </w:t>
      </w:r>
      <w:r>
        <w:rPr>
          <w:b/>
          <w:lang w:val="en-CA"/>
        </w:rPr>
        <w:t>phenomena</w:t>
      </w:r>
      <w:r>
        <w:rPr>
          <w:lang w:val="en-CA"/>
        </w:rPr>
        <w:t xml:space="preserve"> (reality as it appears through our conceptual structures) and never of </w:t>
      </w:r>
      <w:r>
        <w:rPr>
          <w:b/>
          <w:lang w:val="en-CA"/>
        </w:rPr>
        <w:t>noumena</w:t>
      </w:r>
      <w:r>
        <w:rPr>
          <w:lang w:val="en-CA"/>
        </w:rPr>
        <w:t xml:space="preserve"> (things as they exist in themselves, independent of our minds). We cannot know reality as it is in itself because all knowledge requires the mind's active structuring through categories of understanding. The world we experience and investigate scientifically is necessarily shaped by the forms and categories through which the mind makes experience possible. This means that our knowledge always reflects both features of </w:t>
      </w:r>
      <w:r>
        <w:rPr>
          <w:i/>
          <w:lang w:val="en-CA"/>
        </w:rPr>
        <w:t>external reality</w:t>
      </w:r>
      <w:r>
        <w:rPr>
          <w:lang w:val="en-CA"/>
        </w:rPr>
        <w:t xml:space="preserve"> (which provides the sensory content that the mind organizes) and features of </w:t>
      </w:r>
      <w:r>
        <w:rPr>
          <w:i/>
          <w:lang w:val="en-CA"/>
        </w:rPr>
        <w:t>the mind itself</w:t>
      </w:r>
      <w:r>
        <w:rPr>
          <w:lang w:val="en-CA"/>
        </w:rPr>
        <w:t xml:space="preserve"> (the forms and categories through which organization occurs). We can never separate these contributions to determine what belongs to reality itself versus what we contribute through our cognitive apparatus (Kant, 1781; Gardner, 1999).</w:t>
      </w:r>
    </w:p>
    <w:p w14:paraId="1DEB6518" w14:textId="77777777" w:rsidR="006F77F7" w:rsidRPr="00C52464" w:rsidRDefault="00FB6DDC">
      <w:pPr>
        <w:ind w:left="-5"/>
        <w:rPr>
          <w:lang w:val="en-CA"/>
        </w:rPr>
      </w:pPr>
      <w:r>
        <w:rPr>
          <w:lang w:val="en-CA"/>
        </w:rPr>
        <w:t>Kant's distinction between phenomena and noumena generated ongoing philosophical debates with profound implications for social research methodology. If we can know only phenomena and never noumena then perhaps reality itself is fundamentally unknowable beyond how it appears through our categories. Different philosophical traditions drew different implications from this Kantian framework. Some concluded that noumena are irrelevant to knowledge and should be eliminated from philosophy, leading toward idealist positions that identify reality with phenomenal experience or with the structures through which mind constitutes experience. Others maintained that noumena must exist even if unknowable, preserving realist commitments to mind-independent reality while acknowledging fundamental limits to human knowledge. Still others argued that Kant's sharp distinction between phenomena and noumena is untenable and should be replaced with more nuanced accounts of how knowledge relates to reality (Allison, 2004; Guyer, 1992).</w:t>
      </w:r>
    </w:p>
    <w:p w14:paraId="6A9213E5" w14:textId="77777777" w:rsidR="006F77F7" w:rsidRPr="00C52464" w:rsidRDefault="00FB6DDC">
      <w:pPr>
        <w:ind w:left="-5"/>
        <w:rPr>
          <w:lang w:val="en-CA"/>
        </w:rPr>
      </w:pPr>
      <w:r>
        <w:rPr>
          <w:lang w:val="en-CA"/>
        </w:rPr>
        <w:lastRenderedPageBreak/>
        <w:t>These competing interpretations of Kant generated fundamental questions that continue shaping contemporary methodological debates in social research. If all knowledge is necessarily structured by conceptual frameworks, categories of understanding, or cultural perspectives, can we ever know social reality as it actually is? Do our theories and methods simply impose structures on social experience rather than discovering structures that exist independently? Are different theoretical frameworks or research paradigms incommensurable, so fundamentally different that they cannot be compared or integrated, because they structure experience in incompatible ways? Can research make progress toward better understanding reality, or does "progress" simply mean developing more elaborate or useful ways of organizing experience without actually approaching truth about mind-independent reality? These questions, which trace back to Kant's critical philosophy and attempts to respond to Hume's skepticism, make clear why contemporary social researchers cannot avoid ontological questions. The relationship between our research frameworks and social reality itself has become philosophically problematic in ways that cannot be resolved simply by collecting more data or refining methodological techniques (Bhaskar, 1975, 1979).</w:t>
      </w:r>
    </w:p>
    <w:p w14:paraId="011231A8" w14:textId="77777777" w:rsidR="006F77F7" w:rsidRPr="00C52464" w:rsidRDefault="00FB6DDC">
      <w:pPr>
        <w:spacing w:after="565"/>
        <w:ind w:left="-5"/>
        <w:rPr>
          <w:lang w:val="en-CA"/>
        </w:rPr>
      </w:pPr>
      <w:r>
        <w:rPr>
          <w:lang w:val="en-CA"/>
        </w:rPr>
        <w:t>The implications of this philosophical trajectory for social research are profound. The empiricist tradition established that reliable knowledge must be grounded in systematic observation and experience rather than in speculation or authority. This remains an essential insight that shapes scientific methodology. However, Hume's skeptical critique revealed that empiricism alone cannot justify the kinds of inferences about causation, general laws, and unobserved entities that scientific investigation requires. Kant's attempt to rescue the possibility of knowledge by arguing that the mind actively structures experience provided a solution to Hume's skepticism, but at the cost of making all knowledge dependent on our conceptual frameworks in ways that raise questions about whether we can ever know reality as it exists independently of these frameworks. This means that contemporary researchers cannot simply rely on empiricist methodology without addressing deeper questions about what exists and how our methods relate to reality. The remainder of this chapter examines how critical realism responds to these philosophical challenges in ways that enable sophisticated ontological analysis while avoiding both naive empiricism and radical skepticism about the possibility of knowing reality.</w:t>
      </w:r>
    </w:p>
    <w:p w14:paraId="32079801" w14:textId="77777777" w:rsidR="006F77F7" w:rsidRPr="00C52464" w:rsidRDefault="00FB6DDC">
      <w:pPr>
        <w:pStyle w:val="berschrift2"/>
        <w:ind w:left="-5"/>
        <w:rPr>
          <w:lang w:val="en-CA"/>
        </w:rPr>
      </w:pPr>
      <w:r w:rsidRPr="00F83ECE">
        <w:t>1.3 Realism, Idealism, and Ontology</w:t>
      </w:r>
    </w:p>
    <w:p w14:paraId="685F2B04" w14:textId="77777777" w:rsidR="006F77F7" w:rsidRPr="00C52464" w:rsidRDefault="00FB6DDC">
      <w:pPr>
        <w:ind w:left="-5"/>
        <w:rPr>
          <w:lang w:val="en-CA"/>
        </w:rPr>
      </w:pPr>
      <w:r>
        <w:rPr>
          <w:lang w:val="en-CA"/>
        </w:rPr>
        <w:t xml:space="preserve">The philosophical developments traced above generated fundamental questions about relationships between reality and knowledge that must be understood carefully to grasp why ontological analysis matters for social research. While this project aims to remain open to multiple philosophical perspectives, there are places where the philosophy of critical realism must be drawn on more explicitly if a social science grounded in ontology is to be possible. Key aspects of critical realism will be introduced as they become necessary throughout the textbook. We begin with the question of how reality relates to knowledge, which is answered through Roy Bhaskar's distinction between the intransitive and transitive dimensions of science (Bhaskar, 1975). </w:t>
      </w:r>
      <w:r>
        <w:rPr>
          <w:b/>
          <w:lang w:val="en-CA"/>
        </w:rPr>
        <w:t>The intransitive dimension</w:t>
      </w:r>
      <w:r>
        <w:rPr>
          <w:lang w:val="en-CA"/>
        </w:rPr>
        <w:t xml:space="preserve"> refers to the objects of scientific investigation: the real structures, mechanisms, and processes that exist and operate </w:t>
      </w:r>
      <w:r>
        <w:rPr>
          <w:lang w:val="en-CA"/>
        </w:rPr>
        <w:lastRenderedPageBreak/>
        <w:t xml:space="preserve">independently of our knowledge of them. Social institutions, cultural patterns, economic relationships, and power dynamics constitute intransitive objects of social research; they exist and have causal effects whether or not researchers study them accurately or at all. </w:t>
      </w:r>
      <w:r>
        <w:rPr>
          <w:b/>
          <w:lang w:val="en-CA"/>
        </w:rPr>
        <w:t>The transitive dimension</w:t>
      </w:r>
      <w:r>
        <w:rPr>
          <w:lang w:val="en-CA"/>
        </w:rPr>
        <w:t xml:space="preserve"> refers to our changing theories, concepts, and knowledge claims about these intransitive objects: the intellectual frameworks through which we attempt to understand reality. Research paradigms, theoretical traditions, and methodological approaches constitute the transitive dimension; they represent our current best understanding but can be revised, improved, or replaced as knowledge develops.</w:t>
      </w:r>
    </w:p>
    <w:p w14:paraId="260216D4" w14:textId="77777777" w:rsidR="006F77F7" w:rsidRPr="00C52464" w:rsidRDefault="00FB6DDC">
      <w:pPr>
        <w:ind w:left="-5"/>
        <w:rPr>
          <w:lang w:val="en-CA"/>
        </w:rPr>
      </w:pPr>
      <w:r>
        <w:rPr>
          <w:lang w:val="en-CA"/>
        </w:rPr>
        <w:t xml:space="preserve">This distinction proves crucial for understanding the ontological debates examined in this book. The debates about </w:t>
      </w:r>
      <w:r>
        <w:rPr>
          <w:i/>
          <w:lang w:val="en-CA"/>
        </w:rPr>
        <w:t>individuals versus groups</w:t>
      </w:r>
      <w:r>
        <w:rPr>
          <w:lang w:val="en-CA"/>
        </w:rPr>
        <w:t xml:space="preserve">, </w:t>
      </w:r>
      <w:r>
        <w:rPr>
          <w:i/>
          <w:lang w:val="en-CA"/>
        </w:rPr>
        <w:t>structure versus agency</w:t>
      </w:r>
      <w:r>
        <w:rPr>
          <w:lang w:val="en-CA"/>
        </w:rPr>
        <w:t xml:space="preserve">, </w:t>
      </w:r>
      <w:r>
        <w:rPr>
          <w:i/>
          <w:lang w:val="en-CA"/>
        </w:rPr>
        <w:t>material versus ideational factors</w:t>
      </w:r>
      <w:r>
        <w:rPr>
          <w:lang w:val="en-CA"/>
        </w:rPr>
        <w:t xml:space="preserve">, and </w:t>
      </w:r>
      <w:r>
        <w:rPr>
          <w:i/>
          <w:lang w:val="en-CA"/>
        </w:rPr>
        <w:t>transcendence versus immanence</w:t>
      </w:r>
      <w:r>
        <w:rPr>
          <w:lang w:val="en-CA"/>
        </w:rPr>
        <w:t xml:space="preserve"> all concern claims to the intransitive dimension. However, because the transitive dimension can be mis-specified or incomplete, we work with these key ontological debates as analytical frameworks that shape how we currently specify and investigate social phenomena. These debates are not arbitrary classifications but systematic attempts to identify fundamental features of social reality that require ongoing theoretical refinement as understanding develops. Recognizing the distinction between intransitive objects and transitive knowledge helps researchers maintain that social reality has objective features while acknowledging that our understanding of those features remains fallible and subject to revision (Bhaskar, 1979; Sayer, 2000).</w:t>
      </w:r>
    </w:p>
    <w:p w14:paraId="39328122" w14:textId="77777777" w:rsidR="006F77F7" w:rsidRPr="00C52464" w:rsidRDefault="00FB6DDC">
      <w:pPr>
        <w:ind w:left="-5"/>
        <w:rPr>
          <w:lang w:val="en-CA"/>
        </w:rPr>
      </w:pPr>
      <w:r>
        <w:rPr>
          <w:lang w:val="en-CA"/>
        </w:rPr>
        <w:t>Critical realism provides essential philosophical foundations for this approach by maintaining clear distinction between the transitive and intransitive dimensions. This framework enables sophisticated ontological analysis while avoiding both naive empiricism that reduces reality to observable patterns and radical skepticism that denies the possibility of knowing reality beyond our theoretical frameworks. The detailed philosophical development of critical realism and its implications for research methodology will be examined in Chapter 2. For now, understanding the intransitive-transitive distinction provides sufficient foundation for engaging with the ontological debates that structure subsequent analysis (Bhaskar, 1975, 1979; Sayer, 2000).</w:t>
      </w:r>
    </w:p>
    <w:p w14:paraId="6190BF14" w14:textId="77777777" w:rsidR="006F77F7" w:rsidRPr="00C52464" w:rsidRDefault="00FB6DDC">
      <w:pPr>
        <w:ind w:left="-5"/>
        <w:rPr>
          <w:lang w:val="en-CA"/>
        </w:rPr>
      </w:pPr>
      <w:r>
        <w:rPr>
          <w:lang w:val="en-CA"/>
        </w:rPr>
        <w:t xml:space="preserve">Understanding this distinction helps clarify debates about objectivity in social research. Critical realism distinguishes between </w:t>
      </w:r>
      <w:r>
        <w:rPr>
          <w:b/>
          <w:lang w:val="en-CA"/>
        </w:rPr>
        <w:t>ontological realism</w:t>
      </w:r>
      <w:r>
        <w:rPr>
          <w:lang w:val="en-CA"/>
        </w:rPr>
        <w:t xml:space="preserve"> (the claim that reality exists independently of our knowledge), </w:t>
      </w:r>
      <w:r>
        <w:rPr>
          <w:b/>
          <w:lang w:val="en-CA"/>
        </w:rPr>
        <w:t>epistemological relativism</w:t>
      </w:r>
      <w:r>
        <w:rPr>
          <w:lang w:val="en-CA"/>
        </w:rPr>
        <w:t xml:space="preserve"> (the acknowledgment that all knowledge is socially produced and historically specific), and</w:t>
      </w:r>
      <w:r>
        <w:rPr>
          <w:b/>
          <w:lang w:val="en-CA"/>
        </w:rPr>
        <w:t xml:space="preserve"> judgmental rationality</w:t>
      </w:r>
      <w:r>
        <w:rPr>
          <w:lang w:val="en-CA"/>
        </w:rPr>
        <w:t xml:space="preserve"> (the claim that we can nevertheless evaluate competing theories based on their adequacy in explaining reality). We can maintain that reality exists independently while acknowledging that all our theories about reality are fallible and culturally influenced, and we can rationally compare theories based on their explanatory power, predictive success, and ability to guide effective intervention (Bhaskar, 1979; Archer et al., 1998).</w:t>
      </w:r>
    </w:p>
    <w:p w14:paraId="08FF5848" w14:textId="77777777" w:rsidR="008E5DB0" w:rsidRDefault="00FB6DDC">
      <w:pPr>
        <w:ind w:left="-5"/>
      </w:pPr>
      <w:r>
        <w:rPr>
          <w:lang w:val="en-CA"/>
        </w:rPr>
        <w:t xml:space="preserve">This critical realist framework has important implications for understanding ontological analysis in social research. If reality includes structures, mechanisms, and causal powers that cannot be directly observed but nonetheless operate to generate social phenomena, then adequate research requires theoretical frameworks that can conceptualize these unobservables </w:t>
      </w:r>
      <w:r>
        <w:rPr>
          <w:lang w:val="en-CA"/>
        </w:rPr>
        <w:lastRenderedPageBreak/>
        <w:t>and methodological approaches that can provide evidence for their operation through their effects. The fact that these entities are unobservable does not make them less real or less important for explanation. Market mechanisms, institutional structures, cultural meanings, and power relations all operate through partially unobservable processes that nonetheless have real causal effects on observable outcomes. Avoiding the epistemic fallacy (see Chapter 2) means recognizing that what exists is not limited to what can be directly observed, measured, or experienced, and that adequate social explanation requires studying the underlying structures and mechanisms that generate observable patterns (Sayer, 2000; Danermark et al., 2002).</w:t>
      </w:r>
      <w:r>
        <w:t xml:space="preserve"> </w:t>
      </w:r>
    </w:p>
    <w:p w14:paraId="46EA78DB" w14:textId="77777777" w:rsidR="006F77F7" w:rsidRPr="00C52464" w:rsidRDefault="00FB6DDC">
      <w:pPr>
        <w:spacing w:after="642"/>
        <w:ind w:left="-5"/>
        <w:rPr>
          <w:lang w:val="en-CA"/>
        </w:rPr>
      </w:pPr>
      <w:r>
        <w:rPr>
          <w:lang w:val="en-CA"/>
        </w:rPr>
        <w:t>Understanding how critical realism responds to the empiricist-Kantian trajectory clarifies why ontological analysis should not be avoided in contemporary social research. The question of what exists and how we can know it has become philosophically problematic in ways that cannot be resolved by simply collecting more data or refining methods. Making ontological commitments explicit (examining what assumptions our research makes about individuals and groups, structure and agency, material and ideational factors, and universal versus contextual patterns) enables more adequate understanding of social reality by helping us recognize what our methods can and cannot capture, what our theories illuminate and what they systematically exclude, and how different approaches might be integrated or compared. This ontological awareness constitutes essential preparation for the detailed analytical frameworks developed in subsequent chapters.</w:t>
      </w:r>
    </w:p>
    <w:p w14:paraId="2C2B33F7" w14:textId="77777777" w:rsidR="001102D4" w:rsidRPr="00F83ECE" w:rsidRDefault="00000000">
      <w:pPr>
        <w:pStyle w:val="berschrift2"/>
      </w:pPr>
      <w:r w:rsidRPr="00F83ECE">
        <w:t>1.4 Quantification, Objectivity, and the Subject/Object Distinction: Contemporary Manifestations and their Problems</w:t>
      </w:r>
    </w:p>
    <w:p w14:paraId="10754C5F" w14:textId="77777777" w:rsidR="001102D4" w:rsidRDefault="00000000">
      <w:r>
        <w:t xml:space="preserve">A persistent </w:t>
      </w:r>
      <w:proofErr w:type="spellStart"/>
      <w:r>
        <w:t>confusion</w:t>
      </w:r>
      <w:proofErr w:type="spellEnd"/>
      <w:r>
        <w:t xml:space="preserve"> in </w:t>
      </w:r>
      <w:proofErr w:type="spellStart"/>
      <w:r>
        <w:t>methodological</w:t>
      </w:r>
      <w:proofErr w:type="spellEnd"/>
      <w:r>
        <w:t xml:space="preserve"> discourse conflates the quantitative/qualitative distinction with the opposition between objective and subjective knowledge, treating quantitative methods as inherently more objective while dismissing qualitative approaches as inevitably subjective. This conflation must be directly addressed because it substitutes methodological convention for the ontological reasoning that should govern method choice, and it generates false hierarchies that are unresponsive to what different research projects actually require.</w:t>
      </w:r>
    </w:p>
    <w:p w14:paraId="7EFF907B" w14:textId="77777777" w:rsidR="001102D4" w:rsidRDefault="00000000">
      <w:r>
        <w:t xml:space="preserve">Quantification concerns technical procedures for numerical representation and has no necessary relationship to objectivity. Objectivity concerns whether knowledge corresponds to what actually exists and operates in social reality independently of the researcher’s preferences or theoretical commitments (Sayer, 2000). These two concepts address different questions. Quantitative analysis can fail to achieve objectivity through arbitrary variable operationalisation, unjustified causal assumptions, or measurement instruments that do not track the phenomena they purport to capture. Qualitative analysis can achieve high objectivity by accurately capturing how mechanisms actually operate, tracing the specific processes through which structural conditions generate outcomes, or identifying the cultural frameworks through which actors constitute social arrangements. Whether numerical or non-numerical representation is appropriate depends on whether the phenomena under investigation possess properties that make quantification a valid representational strategy and whether the analytical </w:t>
      </w:r>
      <w:r>
        <w:lastRenderedPageBreak/>
        <w:t>questions require the kind of leverage that statistical analysis provides. Neither criterion depends on the assumption that quantitative equals objective.</w:t>
      </w:r>
    </w:p>
    <w:p w14:paraId="2D56B2D3" w14:textId="77777777" w:rsidR="001102D4" w:rsidRDefault="00000000">
      <w:r>
        <w:t>The distinction between subjective and objective operates at two analytically distinct levels. At the ontological level, the distinction concerns what exists independently of any individual consciousness and what depends on conscious experience. Material conditions, structural arrangements, and institutional rules are, on most positions within the debates, ontologically objective: they exist and exert causal pressure regardless of whether any particular individual is aware of them. Meanings, interpretive frameworks, and normative commitments are ontologically subjective in the sense of depending on the intentional activity of conscious actors, though they may acquire an intersubjective and quasi-objective character when collectively shared and institutionally reproduced. At the epistemological level, the distinction concerns whether knowledge corresponds to how things actually exist and operate, or whether it reflects the researcher’s prior commitments, methodological habits, or theoretical preferences rather than the phenomena themselves. A researcher can produce epistemologically objective knowledge about ontologically subjective phenomena, accurately reconstructing how actors experience meanings or institutional pressures, just as another can produce epistemologically subjective knowledge about ontologically objective phenomena by selecting evidence that confirms theoretical expectations. The standard of objectivity is also itself sensitive to the researcher’s position on the transcendence/immanence debate: a transcendent position assesses objectivity through correspondence of causal claims to properties that hold across cases, while an immanent position assesses it through accuracy of conjunctural reconstruction. What is invariant is the requirement that claims correspond to something in social reality rather than to the researcher’s prior commitments.</w:t>
      </w:r>
    </w:p>
    <w:p w14:paraId="721710F5" w14:textId="77777777" w:rsidR="001102D4" w:rsidRDefault="00000000">
      <w:r>
        <w:t>Beyond these two levels lies a third distinction directly consequential for research design: the distinction between the subject and the object of research. The subject of research is the researcher as knowing agent, with particular theoretical commitments, positional situatedness, and interpretive capacities. The object of research is whatever aspect of social reality the investigation is designed to understand: the mechanisms, entities, processes, or configurations that exist independently of the investigation directed at them. The relationship between subject and object of research is not fixed but is itself shaped by the researcher’s combined ontological position. A researcher who holds that mechanisms operate in a domain entirely independent of any observer’s awareness treats the object of research as fully intransitive: it exists and operates the same way whether or not the research is conducted, and the task is to develop knowledge adequate to what is already there. A researcher who holds that the act of investigation, the concepts brought to bear, the questions asked, and the categories through which findings are organised, partly constitutes what is available to be known treats the relationship between subject and object as more complex: the object is not simply given prior to investigation but is partly shaped by the investigative practices through which it is accessed.</w:t>
      </w:r>
    </w:p>
    <w:p w14:paraId="79F26BB4" w14:textId="77777777" w:rsidR="001102D4" w:rsidRDefault="00000000">
      <w:r>
        <w:t xml:space="preserve">This does not collapse into the claim that the object of research is whatever the researcher makes of it. The intransitive dimension, what exists and operates independently of knowledge of it, is the referent that gives research its claim to produce genuine knowledge rather than </w:t>
      </w:r>
      <w:r>
        <w:lastRenderedPageBreak/>
        <w:t>merely organised opinion (Bhaskar, 1979). The transitive dimension, the concepts, methods, and theoretical frameworks through which that reality is investigated, shapes what aspects of the intransitive dimension become visible and what remains outside the frame of investigation. A researcher who approaches educational inequality with concepts adequate only to individual-level variation will not find emergent collective properties even if those properties are real and causally efficacious, not because they do not exist but because the investigative framework cannot reach them. The distinction between subject and object of research therefore carries a reflexive demand: the researcher must attend not only to what is being investigated but to how the conceptual and methodological apparatus they bring shapes what the investigation can and cannot reach. Making the theoretical framework explicit is precisely the practice through which this reflexive demand is addressed, since an explicit framework can be evaluated for its adequacy to the object rather than simply applied as if its adequacy were guaranteed.</w:t>
      </w:r>
    </w:p>
    <w:p w14:paraId="641ADD63" w14:textId="77777777" w:rsidR="001102D4" w:rsidRPr="00F83ECE" w:rsidRDefault="00000000">
      <w:pPr>
        <w:pStyle w:val="berschrift2"/>
      </w:pPr>
      <w:r w:rsidRPr="00F83ECE">
        <w:t>1.5 How This Leads to the Quantitative/Qualitative Divide and the Problem with Methods in Themselves</w:t>
      </w:r>
    </w:p>
    <w:p w14:paraId="75AC08B0" w14:textId="77777777" w:rsidR="001102D4" w:rsidRDefault="00000000">
      <w:r>
        <w:t xml:space="preserve">The </w:t>
      </w:r>
      <w:proofErr w:type="spellStart"/>
      <w:r>
        <w:t>confusions</w:t>
      </w:r>
      <w:proofErr w:type="spellEnd"/>
      <w:r>
        <w:t xml:space="preserve"> </w:t>
      </w:r>
      <w:proofErr w:type="spellStart"/>
      <w:r>
        <w:t>addressed</w:t>
      </w:r>
      <w:proofErr w:type="spellEnd"/>
      <w:r>
        <w:t xml:space="preserve"> in </w:t>
      </w:r>
      <w:proofErr w:type="spellStart"/>
      <w:r>
        <w:t>the</w:t>
      </w:r>
      <w:proofErr w:type="spellEnd"/>
      <w:r>
        <w:t xml:space="preserve"> preceding section are not merely conceptual errors correctable by greater precision. They are reproduced by structural features of how the social sciences are organised and how methods are taught. When quantification is systematically associated with objectivity in disciplinary training and publication norms, the association becomes self-reinforcing: researchers who want their work recognised as rigorous select quantitative methods not because those methods are adequate to their research objects but because the association with objectivity grants legitimacy. This generates a hierarchy among methods that is unresponsive to the ontological requirements of actual research problems, and it is this hierarchy that produces the quantitative/qualitative divide in its contemporary institutionalised form.</w:t>
      </w:r>
    </w:p>
    <w:p w14:paraId="63D62D17" w14:textId="77777777" w:rsidR="001102D4" w:rsidRDefault="00000000">
      <w:r>
        <w:t>The divide is not, at its source, a disagreement about methods. It is an expression of deeper disagreements about what social reality is, how it is constituted, and what kinds of access are possible to it. A researcher who takes individuals and their measurable characteristics as the primary units of social explanation will naturally gravitate toward methods capable of aggregating and comparing individual-level data across large samples. A researcher who holds that collective properties possess emergent causal powers not reducible to individual attributes cannot discharge that commitment through methods designed to access only individual-level variation. The disagreement about methods is a downstream consequence of a prior disagreement about ontology. Treating the divide as primarily a methodological dispute misses this. It encourages researchers to resolve the tension by combining quantitative and qualitative techniques as if the combination itself addressed the underlying problem, when the combination only addresses it if it is governed by an explicitly worked-out ontological position that determines what each technique is doing and why.</w:t>
      </w:r>
    </w:p>
    <w:p w14:paraId="2A8CAD70" w14:textId="77777777" w:rsidR="001102D4" w:rsidRDefault="00000000">
      <w:r>
        <w:t xml:space="preserve">The problem with methods in themselves follows directly. A method treated as appropriate in itself, independently of the research problem and its ontological requirements, generates findings whose adequacy to the object cannot be assessed. The method specifies what can be </w:t>
      </w:r>
      <w:r>
        <w:lastRenderedPageBreak/>
        <w:t>seen, what counts as evidence, and what explanatory forms are available. When the method is chosen before the ontological position is explicit, it effectively settles the ontological question in advance: the findings will be shaped by what the method can reach, and what the method cannot reach will remain invisible. The researcher who equates rigour with the application of a specific method, regardless of whether that method is adequate to the mechanisms or configurations under investigation, has made an implicit ontological commitment without subjecting it to scrutiny. Making that commitment explicit is what enables the researcher to evaluate whether the method is appropriate, to justify the choice in terms that are assessable, and to identify the limits of what the findings can establish. This is what the architecture of research developed through this book is designed to enable. Chapter 2 begins that task by setting out the conceptual architecture on which everything else rests: the relationships between ontology, epistemology, methodology, and method.</w:t>
      </w:r>
    </w:p>
    <w:p w14:paraId="71E6729B" w14:textId="77777777" w:rsidR="006F77F7" w:rsidRPr="00C52464" w:rsidRDefault="00FB6DDC">
      <w:pPr>
        <w:pStyle w:val="berschrift1"/>
        <w:ind w:left="-5"/>
        <w:rPr>
          <w:lang w:val="en-CA"/>
        </w:rPr>
      </w:pPr>
      <w:r>
        <w:rPr>
          <w:lang w:val="en-CA"/>
        </w:rPr>
        <w:t>References</w:t>
      </w:r>
    </w:p>
    <w:p w14:paraId="30C7AB1B" w14:textId="77777777" w:rsidR="006F77F7" w:rsidRPr="00C52464" w:rsidRDefault="00FB6DDC">
      <w:pPr>
        <w:ind w:left="-5"/>
        <w:rPr>
          <w:lang w:val="en-CA"/>
        </w:rPr>
      </w:pPr>
      <w:r>
        <w:rPr>
          <w:lang w:val="en-CA"/>
        </w:rPr>
        <w:t>Allison, H. E. (2004). Kant's transcendental idealism: An interpretation and defense (Revised ed.). Yale University Press.</w:t>
      </w:r>
    </w:p>
    <w:p w14:paraId="76FBFBF4" w14:textId="77777777" w:rsidR="006F77F7" w:rsidRPr="00C52464" w:rsidRDefault="00FB6DDC">
      <w:pPr>
        <w:ind w:left="-5"/>
        <w:rPr>
          <w:lang w:val="en-CA"/>
        </w:rPr>
      </w:pPr>
      <w:r>
        <w:rPr>
          <w:lang w:val="en-CA"/>
        </w:rPr>
        <w:t>Althusser, L. (1970). For Marx (B. Brewster, Trans.). Vintage Books. (Original work published 1965).</w:t>
      </w:r>
    </w:p>
    <w:p w14:paraId="3BFDB4FB" w14:textId="77777777" w:rsidR="006F77F7" w:rsidRPr="00C52464" w:rsidRDefault="00FB6DDC">
      <w:pPr>
        <w:ind w:left="-5"/>
        <w:rPr>
          <w:lang w:val="en-CA"/>
        </w:rPr>
      </w:pPr>
      <w:r>
        <w:rPr>
          <w:lang w:val="en-CA"/>
        </w:rPr>
        <w:t>Archer, M. S. (1995). Realist social theory: The morphogenetic approach. Cambridge University Press.</w:t>
      </w:r>
    </w:p>
    <w:p w14:paraId="0F14C5E5" w14:textId="77777777" w:rsidR="006F77F7" w:rsidRPr="00C52464" w:rsidRDefault="00FB6DDC">
      <w:pPr>
        <w:ind w:left="-5"/>
        <w:rPr>
          <w:lang w:val="en-CA"/>
        </w:rPr>
      </w:pPr>
      <w:r>
        <w:rPr>
          <w:lang w:val="en-CA"/>
        </w:rPr>
        <w:t>Archer, M. S., Bhaskar, R., Collier, A., Lawson, T., &amp; Norrie, A. (Eds.). (1998). Critical realism: Essential readings. Routledge.</w:t>
      </w:r>
    </w:p>
    <w:p w14:paraId="2AF8AB53" w14:textId="77777777" w:rsidR="001102D4" w:rsidRDefault="00000000">
      <w:pPr>
        <w:ind w:left="-5"/>
        <w:rPr>
          <w:lang w:val="en-CA"/>
        </w:rPr>
      </w:pPr>
      <w:r>
        <w:rPr>
          <w:lang w:val="en-CA"/>
        </w:rPr>
        <w:t>Aristotle. (1996). Physics (R. Waterfield, Trans.). Oxford University Press. (Original work ca. 350 BCE)</w:t>
      </w:r>
    </w:p>
    <w:p w14:paraId="20D14D6C" w14:textId="77777777" w:rsidR="006F77F7" w:rsidRPr="00C52464" w:rsidRDefault="00FB6DDC">
      <w:pPr>
        <w:ind w:left="-5"/>
        <w:rPr>
          <w:lang w:val="en-CA"/>
        </w:rPr>
      </w:pPr>
      <w:r>
        <w:rPr>
          <w:lang w:val="en-CA"/>
        </w:rPr>
        <w:t>Ayers, M. (1991). Locke: Epistemology and ontology (2 vols.). Routledge.</w:t>
      </w:r>
    </w:p>
    <w:p w14:paraId="1893D98A" w14:textId="77777777" w:rsidR="006F77F7" w:rsidRPr="00C52464" w:rsidRDefault="00FB6DDC">
      <w:pPr>
        <w:ind w:left="-5"/>
        <w:rPr>
          <w:lang w:val="en-CA"/>
        </w:rPr>
      </w:pPr>
      <w:r>
        <w:rPr>
          <w:lang w:val="en-CA"/>
        </w:rPr>
        <w:t>Bhaskar, R. (1975). A realist theory of science. Leeds Books.</w:t>
      </w:r>
    </w:p>
    <w:p w14:paraId="7B0D4A89" w14:textId="77777777" w:rsidR="006F77F7" w:rsidRPr="00C52464" w:rsidRDefault="00FB6DDC">
      <w:pPr>
        <w:ind w:left="-5"/>
        <w:rPr>
          <w:lang w:val="en-CA"/>
        </w:rPr>
      </w:pPr>
      <w:r>
        <w:rPr>
          <w:lang w:val="en-CA"/>
        </w:rPr>
        <w:t>Bhaskar, R. (1979). The possibility of naturalism: A philosophical critique of the contemporary human sciences. Harvester Press.</w:t>
      </w:r>
    </w:p>
    <w:p w14:paraId="47F16DF1" w14:textId="77777777" w:rsidR="006F77F7" w:rsidRPr="00C52464" w:rsidRDefault="00FB6DDC">
      <w:pPr>
        <w:ind w:left="-5"/>
        <w:rPr>
          <w:lang w:val="en-CA"/>
        </w:rPr>
      </w:pPr>
      <w:r>
        <w:rPr>
          <w:lang w:val="en-CA"/>
        </w:rPr>
        <w:t>Danermark, B., Ekström, M., Jakobsen, L., &amp; Karlsson, J. C. (2002). Explaining society: Critical realism in the social sciences. Routledge.</w:t>
      </w:r>
    </w:p>
    <w:p w14:paraId="1413A047" w14:textId="77777777" w:rsidR="006F77F7" w:rsidRPr="00C52464" w:rsidRDefault="00FB6DDC">
      <w:pPr>
        <w:ind w:left="-5"/>
        <w:rPr>
          <w:lang w:val="en-CA"/>
        </w:rPr>
      </w:pPr>
      <w:r>
        <w:rPr>
          <w:lang w:val="en-CA"/>
        </w:rPr>
        <w:t>Fogelin, R. J. (1985). Hume's scepticism in the Treatise of Human Nature. Routledge.</w:t>
      </w:r>
    </w:p>
    <w:p w14:paraId="4FF88295" w14:textId="77777777" w:rsidR="006F77F7" w:rsidRPr="00C52464" w:rsidRDefault="00FB6DDC">
      <w:pPr>
        <w:ind w:left="-5"/>
        <w:rPr>
          <w:lang w:val="en-CA"/>
        </w:rPr>
      </w:pPr>
      <w:r>
        <w:rPr>
          <w:lang w:val="en-CA"/>
        </w:rPr>
        <w:t>Gardner, S. (1999). Kant and the Critique of Pure Reason. Routledge.</w:t>
      </w:r>
    </w:p>
    <w:p w14:paraId="0BB67037" w14:textId="77777777" w:rsidR="006F77F7" w:rsidRPr="00C52464" w:rsidRDefault="00FB6DDC">
      <w:pPr>
        <w:ind w:left="-5"/>
        <w:rPr>
          <w:lang w:val="en-CA"/>
        </w:rPr>
      </w:pPr>
      <w:r>
        <w:rPr>
          <w:lang w:val="en-CA"/>
        </w:rPr>
        <w:t>Garrett, D. (1997). Cognition and commitment in Hume's philosophy. Oxford University Press.</w:t>
      </w:r>
    </w:p>
    <w:p w14:paraId="70FB9889" w14:textId="77777777" w:rsidR="006F77F7" w:rsidRPr="00C52464" w:rsidRDefault="00FB6DDC">
      <w:pPr>
        <w:ind w:left="-5"/>
        <w:rPr>
          <w:lang w:val="en-CA"/>
        </w:rPr>
      </w:pPr>
      <w:r>
        <w:rPr>
          <w:lang w:val="en-CA"/>
        </w:rPr>
        <w:lastRenderedPageBreak/>
        <w:t>Giddens, A. (1984). The constitution of society: Outline of the theory of structuration. University of California Press.</w:t>
      </w:r>
    </w:p>
    <w:p w14:paraId="7F17C690" w14:textId="77777777" w:rsidR="006F77F7" w:rsidRPr="00C52464" w:rsidRDefault="00FB6DDC">
      <w:pPr>
        <w:ind w:left="-5"/>
        <w:rPr>
          <w:lang w:val="en-CA"/>
        </w:rPr>
      </w:pPr>
      <w:r>
        <w:rPr>
          <w:lang w:val="en-CA"/>
        </w:rPr>
        <w:t>Guyer, P. (Ed.). (1992). The Cambridge companion to Kant. Cambridge University Press.</w:t>
      </w:r>
    </w:p>
    <w:p w14:paraId="4E2979D3" w14:textId="77777777" w:rsidR="006F77F7" w:rsidRPr="00C52464" w:rsidRDefault="00FB6DDC">
      <w:pPr>
        <w:ind w:left="-5"/>
        <w:rPr>
          <w:lang w:val="en-CA"/>
        </w:rPr>
      </w:pPr>
      <w:r>
        <w:rPr>
          <w:lang w:val="en-CA"/>
        </w:rPr>
        <w:t>Hume, D. (1739-1740). A treatise of human nature (L. A. Selby-Bigge &amp; P. H. Nidditch, Eds.). Oxford University Press.</w:t>
      </w:r>
    </w:p>
    <w:p w14:paraId="283362B4" w14:textId="77777777" w:rsidR="006F77F7" w:rsidRPr="00C52464" w:rsidRDefault="00FB6DDC">
      <w:pPr>
        <w:ind w:left="-5"/>
        <w:rPr>
          <w:lang w:val="en-CA"/>
        </w:rPr>
      </w:pPr>
      <w:r>
        <w:rPr>
          <w:lang w:val="en-CA"/>
        </w:rPr>
        <w:t>Hume, D. (1748). An enquiry concerning human understanding (T. L. Beauchamp, Ed.). Oxford University Press.</w:t>
      </w:r>
    </w:p>
    <w:p w14:paraId="565E5F11" w14:textId="77777777" w:rsidR="006F77F7" w:rsidRPr="00C52464" w:rsidRDefault="00FB6DDC">
      <w:pPr>
        <w:ind w:left="-5"/>
        <w:rPr>
          <w:lang w:val="en-CA"/>
        </w:rPr>
      </w:pPr>
      <w:r>
        <w:rPr>
          <w:lang w:val="en-CA"/>
        </w:rPr>
        <w:t>Kant, I. (1781). Critique of pure reason (P. Guyer &amp; A. W. Wood, Trans.). Cambridge University Press.</w:t>
      </w:r>
    </w:p>
    <w:p w14:paraId="7D71FA8B" w14:textId="77777777" w:rsidR="006F77F7" w:rsidRPr="00C52464" w:rsidRDefault="00FB6DDC">
      <w:pPr>
        <w:ind w:left="-5"/>
        <w:rPr>
          <w:lang w:val="en-CA"/>
        </w:rPr>
      </w:pPr>
      <w:r>
        <w:rPr>
          <w:lang w:val="en-CA"/>
        </w:rPr>
        <w:t>Kant, I. (1788). Critique of practical reason (A. Reath, Ed.; M. Gregor, Trans.). Cambridge University Press.</w:t>
      </w:r>
    </w:p>
    <w:p w14:paraId="18A5B1DE" w14:textId="77777777" w:rsidR="006F77F7" w:rsidRPr="00C52464" w:rsidRDefault="00FB6DDC">
      <w:pPr>
        <w:ind w:left="-5"/>
        <w:rPr>
          <w:lang w:val="en-CA"/>
        </w:rPr>
      </w:pPr>
      <w:r>
        <w:rPr>
          <w:lang w:val="en-CA"/>
        </w:rPr>
        <w:t>Kant, I. (1790). Critique of the power of judgment (P. Guyer &amp; E. Matthews, Trans.). Cambridge University Press.</w:t>
      </w:r>
    </w:p>
    <w:p w14:paraId="27A53F6E" w14:textId="77777777" w:rsidR="006F77F7" w:rsidRPr="00C52464" w:rsidRDefault="00FB6DDC">
      <w:pPr>
        <w:ind w:left="-5"/>
        <w:rPr>
          <w:lang w:val="en-CA"/>
        </w:rPr>
      </w:pPr>
      <w:r>
        <w:rPr>
          <w:lang w:val="en-CA"/>
        </w:rPr>
        <w:t>Kuhn, T. S. (1962). The structure of scientific revolutions. University of Chicago Press.</w:t>
      </w:r>
    </w:p>
    <w:p w14:paraId="097F3821" w14:textId="77777777" w:rsidR="006F77F7" w:rsidRPr="00C52464" w:rsidRDefault="00FB6DDC">
      <w:pPr>
        <w:ind w:left="-5"/>
        <w:rPr>
          <w:lang w:val="en-CA"/>
        </w:rPr>
      </w:pPr>
      <w:r>
        <w:rPr>
          <w:lang w:val="en-CA"/>
        </w:rPr>
        <w:t>Lakatos, I. (1978). The methodology of scientific research programmes: Philosophical papers volume 1. Cambridge University Press.</w:t>
      </w:r>
    </w:p>
    <w:p w14:paraId="7099034E" w14:textId="77777777" w:rsidR="006F77F7" w:rsidRPr="00C52464" w:rsidRDefault="00FB6DDC">
      <w:pPr>
        <w:ind w:left="-5"/>
        <w:rPr>
          <w:lang w:val="en-CA"/>
        </w:rPr>
      </w:pPr>
      <w:r>
        <w:rPr>
          <w:lang w:val="en-CA"/>
        </w:rPr>
        <w:t>Laudan, L. (1977). Progress and its problems: Towards a theory of scientific growth. University of California Press.</w:t>
      </w:r>
    </w:p>
    <w:p w14:paraId="3920C5D1" w14:textId="77777777" w:rsidR="006F77F7" w:rsidRPr="00C52464" w:rsidRDefault="00FB6DDC">
      <w:pPr>
        <w:ind w:left="-5"/>
        <w:rPr>
          <w:lang w:val="en-CA"/>
        </w:rPr>
      </w:pPr>
      <w:r>
        <w:rPr>
          <w:lang w:val="en-CA"/>
        </w:rPr>
        <w:t>Lawson, T. (1997). Economics and reality. Routledge.</w:t>
      </w:r>
    </w:p>
    <w:p w14:paraId="3951ADC8" w14:textId="77777777" w:rsidR="006F77F7" w:rsidRPr="00C52464" w:rsidRDefault="00FB6DDC">
      <w:pPr>
        <w:ind w:left="-5"/>
        <w:rPr>
          <w:lang w:val="en-CA"/>
        </w:rPr>
      </w:pPr>
      <w:r>
        <w:rPr>
          <w:lang w:val="en-CA"/>
        </w:rPr>
        <w:t>Locke, J. (1689). An essay concerning human understanding (P. H. Nidditch, Ed.). Oxford University Press.</w:t>
      </w:r>
    </w:p>
    <w:p w14:paraId="0D8496BE" w14:textId="77777777" w:rsidR="006F77F7" w:rsidRPr="00C52464" w:rsidRDefault="00FB6DDC">
      <w:pPr>
        <w:spacing w:after="9"/>
        <w:ind w:left="-5"/>
        <w:rPr>
          <w:lang w:val="en-CA"/>
        </w:rPr>
      </w:pPr>
      <w:r>
        <w:rPr>
          <w:lang w:val="en-CA"/>
        </w:rPr>
        <w:t xml:space="preserve">Massey, D. (2018). Power-geometry and a progressive sense of place. In </w:t>
      </w:r>
      <w:r>
        <w:rPr>
          <w:i/>
          <w:lang w:val="en-CA"/>
        </w:rPr>
        <w:t xml:space="preserve">The Doreen Massey </w:t>
      </w:r>
    </w:p>
    <w:p w14:paraId="3297BCA2" w14:textId="77777777" w:rsidR="006F77F7" w:rsidRPr="00C52464" w:rsidRDefault="00FB6DDC">
      <w:pPr>
        <w:ind w:left="-5"/>
        <w:rPr>
          <w:lang w:val="en-CA"/>
        </w:rPr>
      </w:pPr>
      <w:r>
        <w:rPr>
          <w:i/>
          <w:lang w:val="en-CA"/>
        </w:rPr>
        <w:t>Reader</w:t>
      </w:r>
      <w:r>
        <w:rPr>
          <w:lang w:val="en-CA"/>
        </w:rPr>
        <w:t xml:space="preserve"> (pp. 149–158). Agenda Publishing. https://doi.org/10.1017/9781911116844.011 (Original work published 1993)</w:t>
      </w:r>
    </w:p>
    <w:p w14:paraId="022C62E1" w14:textId="77777777" w:rsidR="006F77F7" w:rsidRPr="00C52464" w:rsidRDefault="00FB6DDC">
      <w:pPr>
        <w:ind w:left="-5"/>
        <w:rPr>
          <w:lang w:val="en-CA"/>
        </w:rPr>
      </w:pPr>
      <w:r>
        <w:rPr>
          <w:lang w:val="en-CA"/>
        </w:rPr>
        <w:t>Sayer, A. (2000). Realism and social science. Sage.</w:t>
      </w:r>
    </w:p>
    <w:p w14:paraId="7BDA04E9" w14:textId="77777777" w:rsidR="006F77F7" w:rsidRPr="00C52464" w:rsidRDefault="00FB6DDC">
      <w:pPr>
        <w:ind w:left="-5"/>
        <w:rPr>
          <w:lang w:val="en-CA"/>
        </w:rPr>
      </w:pPr>
      <w:r>
        <w:rPr>
          <w:lang w:val="en-CA"/>
        </w:rPr>
        <w:t>Stroud, B. (1977). Hume. Routledge.</w:t>
      </w:r>
    </w:p>
    <w:p w14:paraId="75FB612B" w14:textId="77777777" w:rsidR="001102D4" w:rsidRDefault="00000000">
      <w:pPr>
        <w:ind w:left="-5"/>
        <w:rPr>
          <w:lang w:val="en-CA"/>
        </w:rPr>
      </w:pPr>
      <w:r>
        <w:rPr>
          <w:lang w:val="en-CA"/>
        </w:rPr>
        <w:t>Toulmin, S. (1990). Cosmopolis: The hidden agenda of modernity. University of Chicago Press.</w:t>
      </w:r>
    </w:p>
    <w:sectPr w:rsidR="001102D4">
      <w:pgSz w:w="11906" w:h="16838"/>
      <w:pgMar w:top="1475" w:right="1417" w:bottom="1422"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e Laschkolnig" w:date="2026-09-07T00:30:00Z" w:initials="MOU">
    <w:p w14:paraId="5E0432BC" w14:textId="77777777" w:rsidR="00F83ECE" w:rsidRDefault="00F83ECE" w:rsidP="00F83ECE">
      <w:r>
        <w:rPr>
          <w:rStyle w:val="Kommentarzeichen"/>
        </w:rPr>
        <w:annotationRef/>
      </w:r>
      <w:r>
        <w:rPr>
          <w:sz w:val="20"/>
          <w:szCs w:val="20"/>
        </w:rPr>
        <w:t>while this is a good story, if one has read the intro this is boring as hell/somewhat repetitive</w:t>
      </w:r>
    </w:p>
  </w:comment>
  <w:comment w:id="1" w:author="Caroline Laschkolnig" w:date="2026-09-07T12:35:00Z" w:initials="MOU">
    <w:p w14:paraId="507B8979" w14:textId="77777777" w:rsidR="00611AB5" w:rsidRDefault="00611AB5" w:rsidP="00611AB5">
      <w:r>
        <w:rPr>
          <w:rStyle w:val="Kommentarzeichen"/>
        </w:rPr>
        <w:annotationRef/>
      </w:r>
      <w:r>
        <w:rPr>
          <w:sz w:val="20"/>
          <w:szCs w:val="20"/>
        </w:rPr>
        <w:t>also if we keep it lets emphasise the caricature of quantitative and qualitative and then after be like, „while this was a caricature, such situations are very common, as much so that it is quite likely that you have experienced them yourself!“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0432BC" w15:done="0"/>
  <w15:commentEx w15:paraId="507B8979" w15:paraIdParent="5E043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7AE612" w16cex:dateUtc="2026-09-06T22:30:00Z"/>
  <w16cex:commentExtensible w16cex:durableId="6A343AD8" w16cex:dateUtc="2026-09-07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0432BC" w16cid:durableId="567AE612"/>
  <w16cid:commentId w16cid:paraId="507B8979" w16cid:durableId="6A343A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5F44C" w14:textId="77777777" w:rsidR="00ED0997" w:rsidRDefault="00ED0997" w:rsidP="00A323A6">
      <w:pPr>
        <w:spacing w:after="0" w:line="240" w:lineRule="auto"/>
      </w:pPr>
      <w:r>
        <w:separator/>
      </w:r>
    </w:p>
  </w:endnote>
  <w:endnote w:type="continuationSeparator" w:id="0">
    <w:p w14:paraId="609F80F4" w14:textId="77777777" w:rsidR="00ED0997" w:rsidRDefault="00ED0997" w:rsidP="00A323A6">
      <w:pPr>
        <w:spacing w:after="0" w:line="240" w:lineRule="auto"/>
      </w:pPr>
      <w:r>
        <w:continuationSeparator/>
      </w:r>
    </w:p>
  </w:endnote>
  <w:endnote w:type="continuationNotice" w:id="1">
    <w:p w14:paraId="71D1F39C" w14:textId="77777777" w:rsidR="00ED0997" w:rsidRDefault="00ED09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5651" w14:textId="77777777" w:rsidR="00ED0997" w:rsidRDefault="00ED0997" w:rsidP="00A323A6">
      <w:pPr>
        <w:spacing w:after="0" w:line="240" w:lineRule="auto"/>
      </w:pPr>
      <w:r>
        <w:separator/>
      </w:r>
    </w:p>
  </w:footnote>
  <w:footnote w:type="continuationSeparator" w:id="0">
    <w:p w14:paraId="643448DB" w14:textId="77777777" w:rsidR="00ED0997" w:rsidRDefault="00ED0997" w:rsidP="00A323A6">
      <w:pPr>
        <w:spacing w:after="0" w:line="240" w:lineRule="auto"/>
      </w:pPr>
      <w:r>
        <w:continuationSeparator/>
      </w:r>
    </w:p>
  </w:footnote>
  <w:footnote w:type="continuationNotice" w:id="1">
    <w:p w14:paraId="40B6FCD0" w14:textId="77777777" w:rsidR="00ED0997" w:rsidRDefault="00ED0997">
      <w:pPr>
        <w:spacing w:after="0" w:line="240" w:lineRule="auto"/>
      </w:pPr>
    </w:p>
  </w:footnote>
  <w:footnote w:id="2">
    <w:p w14:paraId="76BB6A72" w14:textId="6BB0D5AB" w:rsidR="00737D63" w:rsidRPr="00737D63" w:rsidRDefault="00737D63">
      <w:pPr>
        <w:pStyle w:val="Funotentext"/>
      </w:pPr>
      <w:r>
        <w:rPr>
          <w:rStyle w:val="Funotenzeichen"/>
        </w:rPr>
        <w:footnoteRef/>
      </w:r>
      <w:r>
        <w:t xml:space="preserve"> </w:t>
      </w:r>
      <w:r>
        <w:t>Co-edited</w:t>
      </w:r>
      <w:r w:rsidRPr="006933AD">
        <w:t xml:space="preserve"> by </w:t>
      </w:r>
      <w:r>
        <w:t>Elise Wester</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18A"/>
    <w:multiLevelType w:val="hybridMultilevel"/>
    <w:tmpl w:val="0786FA3C"/>
    <w:lvl w:ilvl="0" w:tplc="8AD816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668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EF4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0680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DEC7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427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AE7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6C43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E4F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03521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Laschkolnig">
    <w15:presenceInfo w15:providerId="AD" w15:userId="S::101535cla@eur.nl::48a947aa-161b-4b11-bd66-0a98fd46d6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attachedTemplate r:id="rId1"/>
  <w:linkStyles/>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F7"/>
    <w:rsid w:val="00023467"/>
    <w:rsid w:val="00060B33"/>
    <w:rsid w:val="000C2CE7"/>
    <w:rsid w:val="000C5140"/>
    <w:rsid w:val="000F674D"/>
    <w:rsid w:val="001102D4"/>
    <w:rsid w:val="001477CA"/>
    <w:rsid w:val="00154C57"/>
    <w:rsid w:val="0016741B"/>
    <w:rsid w:val="001A4B1A"/>
    <w:rsid w:val="001B40A4"/>
    <w:rsid w:val="00211EDD"/>
    <w:rsid w:val="00273F36"/>
    <w:rsid w:val="00294BFF"/>
    <w:rsid w:val="002D2B00"/>
    <w:rsid w:val="002E2454"/>
    <w:rsid w:val="002F6A08"/>
    <w:rsid w:val="00305839"/>
    <w:rsid w:val="003151D6"/>
    <w:rsid w:val="00320296"/>
    <w:rsid w:val="0032191E"/>
    <w:rsid w:val="00334434"/>
    <w:rsid w:val="0033549F"/>
    <w:rsid w:val="00341459"/>
    <w:rsid w:val="00342576"/>
    <w:rsid w:val="0034618E"/>
    <w:rsid w:val="003541A3"/>
    <w:rsid w:val="00393A4A"/>
    <w:rsid w:val="003B54E0"/>
    <w:rsid w:val="003F6348"/>
    <w:rsid w:val="00444CF2"/>
    <w:rsid w:val="00462A5F"/>
    <w:rsid w:val="004649CA"/>
    <w:rsid w:val="00497412"/>
    <w:rsid w:val="004A6429"/>
    <w:rsid w:val="004F0D4D"/>
    <w:rsid w:val="004F245C"/>
    <w:rsid w:val="005502FC"/>
    <w:rsid w:val="00555E3C"/>
    <w:rsid w:val="005659E4"/>
    <w:rsid w:val="00570041"/>
    <w:rsid w:val="005A14FE"/>
    <w:rsid w:val="005C4957"/>
    <w:rsid w:val="005D20A9"/>
    <w:rsid w:val="005D3640"/>
    <w:rsid w:val="005F7A08"/>
    <w:rsid w:val="00611AB5"/>
    <w:rsid w:val="00627D6D"/>
    <w:rsid w:val="006463C2"/>
    <w:rsid w:val="0066200F"/>
    <w:rsid w:val="00676B1B"/>
    <w:rsid w:val="00694DE6"/>
    <w:rsid w:val="006A4158"/>
    <w:rsid w:val="006A6770"/>
    <w:rsid w:val="006B1342"/>
    <w:rsid w:val="006B34B3"/>
    <w:rsid w:val="006C14D7"/>
    <w:rsid w:val="006D4A6B"/>
    <w:rsid w:val="006E5C9F"/>
    <w:rsid w:val="006F0542"/>
    <w:rsid w:val="006F2C45"/>
    <w:rsid w:val="006F480B"/>
    <w:rsid w:val="006F77F7"/>
    <w:rsid w:val="00701D75"/>
    <w:rsid w:val="00705281"/>
    <w:rsid w:val="00705E6E"/>
    <w:rsid w:val="007134B7"/>
    <w:rsid w:val="00737D63"/>
    <w:rsid w:val="00743BA0"/>
    <w:rsid w:val="007662FA"/>
    <w:rsid w:val="00774290"/>
    <w:rsid w:val="007A15AB"/>
    <w:rsid w:val="00877DC4"/>
    <w:rsid w:val="008E5DB0"/>
    <w:rsid w:val="008F024D"/>
    <w:rsid w:val="008F2200"/>
    <w:rsid w:val="00914D90"/>
    <w:rsid w:val="00920C8D"/>
    <w:rsid w:val="009231D7"/>
    <w:rsid w:val="0092768F"/>
    <w:rsid w:val="00960E39"/>
    <w:rsid w:val="009A4A7D"/>
    <w:rsid w:val="009E1E46"/>
    <w:rsid w:val="00A1454E"/>
    <w:rsid w:val="00A20AA3"/>
    <w:rsid w:val="00A323A6"/>
    <w:rsid w:val="00A71432"/>
    <w:rsid w:val="00A9319D"/>
    <w:rsid w:val="00A935BE"/>
    <w:rsid w:val="00AA7A27"/>
    <w:rsid w:val="00AC2007"/>
    <w:rsid w:val="00B319BD"/>
    <w:rsid w:val="00B64354"/>
    <w:rsid w:val="00B87D4B"/>
    <w:rsid w:val="00BB414F"/>
    <w:rsid w:val="00BB6CB2"/>
    <w:rsid w:val="00BE1B89"/>
    <w:rsid w:val="00C15FAE"/>
    <w:rsid w:val="00C52464"/>
    <w:rsid w:val="00C57612"/>
    <w:rsid w:val="00C76AF6"/>
    <w:rsid w:val="00C80619"/>
    <w:rsid w:val="00C83140"/>
    <w:rsid w:val="00CA334C"/>
    <w:rsid w:val="00CA6424"/>
    <w:rsid w:val="00CE0E1A"/>
    <w:rsid w:val="00D17206"/>
    <w:rsid w:val="00D37F9C"/>
    <w:rsid w:val="00D45FF9"/>
    <w:rsid w:val="00D86AF9"/>
    <w:rsid w:val="00DB6FA4"/>
    <w:rsid w:val="00E00C66"/>
    <w:rsid w:val="00E324E5"/>
    <w:rsid w:val="00E329CC"/>
    <w:rsid w:val="00E32C89"/>
    <w:rsid w:val="00E45104"/>
    <w:rsid w:val="00E45531"/>
    <w:rsid w:val="00E7074B"/>
    <w:rsid w:val="00E70CDB"/>
    <w:rsid w:val="00E83EB1"/>
    <w:rsid w:val="00E85310"/>
    <w:rsid w:val="00E96EEA"/>
    <w:rsid w:val="00EC05D2"/>
    <w:rsid w:val="00EC69CC"/>
    <w:rsid w:val="00ED0997"/>
    <w:rsid w:val="00ED7BB7"/>
    <w:rsid w:val="00EF0B5A"/>
    <w:rsid w:val="00EF1107"/>
    <w:rsid w:val="00EF5DF5"/>
    <w:rsid w:val="00F013AD"/>
    <w:rsid w:val="00F21042"/>
    <w:rsid w:val="00F246E8"/>
    <w:rsid w:val="00F51C71"/>
    <w:rsid w:val="00F61D78"/>
    <w:rsid w:val="00F83ECE"/>
    <w:rsid w:val="00FB2C27"/>
    <w:rsid w:val="00FB6DDC"/>
    <w:rsid w:val="00FC0BC8"/>
    <w:rsid w:val="00FC6B6A"/>
    <w:rsid w:val="00FC7369"/>
    <w:rsid w:val="00FE21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D436CAC"/>
  <w15:docId w15:val="{E6D3B4F0-4525-5A49-AF75-E7A72C4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E1B89"/>
    <w:pPr>
      <w:spacing w:after="200" w:line="276" w:lineRule="auto"/>
    </w:pPr>
    <w:rPr>
      <w:rFonts w:ascii="Times New Roman" w:hAnsi="Times New Roman"/>
      <w:kern w:val="0"/>
      <w:szCs w:val="22"/>
      <w:lang w:val="en-US" w:eastAsia="en-US"/>
      <w14:ligatures w14:val="none"/>
    </w:rPr>
  </w:style>
  <w:style w:type="paragraph" w:styleId="berschrift1">
    <w:name w:val="heading 1"/>
    <w:basedOn w:val="Standard"/>
    <w:next w:val="Standard"/>
    <w:link w:val="berschrift1Zchn"/>
    <w:uiPriority w:val="9"/>
    <w:qFormat/>
    <w:rsid w:val="00BE1B89"/>
    <w:pPr>
      <w:spacing w:before="360"/>
      <w:outlineLvl w:val="0"/>
    </w:pPr>
    <w:rPr>
      <w:b/>
      <w:sz w:val="28"/>
    </w:rPr>
  </w:style>
  <w:style w:type="paragraph" w:styleId="berschrift2">
    <w:name w:val="heading 2"/>
    <w:basedOn w:val="Standard"/>
    <w:next w:val="Standard"/>
    <w:link w:val="berschrift2Zchn"/>
    <w:uiPriority w:val="9"/>
    <w:unhideWhenUsed/>
    <w:qFormat/>
    <w:rsid w:val="00BE1B89"/>
    <w:pPr>
      <w:spacing w:before="360"/>
      <w:outlineLvl w:val="1"/>
    </w:pPr>
    <w:rPr>
      <w:b/>
      <w:szCs w:val="24"/>
    </w:rPr>
  </w:style>
  <w:style w:type="paragraph" w:styleId="berschrift3">
    <w:name w:val="heading 3"/>
    <w:basedOn w:val="berschrift2"/>
    <w:next w:val="Standard"/>
    <w:link w:val="berschrift3Zchn"/>
    <w:uiPriority w:val="9"/>
    <w:unhideWhenUsed/>
    <w:qFormat/>
    <w:rsid w:val="00BE1B89"/>
    <w:pPr>
      <w:outlineLvl w:val="2"/>
    </w:pPr>
    <w:rPr>
      <w:b w:val="0"/>
      <w:bCs/>
      <w:i/>
      <w:iCs/>
    </w:rPr>
  </w:style>
  <w:style w:type="paragraph" w:styleId="berschrift4">
    <w:name w:val="heading 4"/>
    <w:basedOn w:val="Standard"/>
    <w:next w:val="Standard"/>
    <w:link w:val="berschrift4Zchn"/>
    <w:uiPriority w:val="9"/>
    <w:semiHidden/>
    <w:unhideWhenUsed/>
    <w:qFormat/>
    <w:rsid w:val="00BE1B8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1B8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1B8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1B8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1B8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1B8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rsid w:val="00BE1B89"/>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BE1B89"/>
  </w:style>
  <w:style w:type="character" w:customStyle="1" w:styleId="berschrift2Zchn">
    <w:name w:val="Überschrift 2 Zchn"/>
    <w:basedOn w:val="Absatz-Standardschriftart"/>
    <w:link w:val="berschrift2"/>
    <w:uiPriority w:val="9"/>
    <w:rsid w:val="00BE1B89"/>
    <w:rPr>
      <w:rFonts w:ascii="Times New Roman" w:hAnsi="Times New Roman"/>
      <w:b/>
      <w:kern w:val="0"/>
      <w:lang w:val="en-US" w:eastAsia="en-US"/>
      <w14:ligatures w14:val="none"/>
    </w:rPr>
  </w:style>
  <w:style w:type="character" w:customStyle="1" w:styleId="berschrift1Zchn">
    <w:name w:val="Überschrift 1 Zchn"/>
    <w:basedOn w:val="Absatz-Standardschriftart"/>
    <w:link w:val="berschrift1"/>
    <w:uiPriority w:val="9"/>
    <w:rsid w:val="00BE1B89"/>
    <w:rPr>
      <w:rFonts w:ascii="Times New Roman" w:hAnsi="Times New Roman"/>
      <w:b/>
      <w:kern w:val="0"/>
      <w:sz w:val="28"/>
      <w:szCs w:val="22"/>
      <w:lang w:val="en-US" w:eastAsia="en-US"/>
      <w14:ligatures w14:val="none"/>
    </w:rPr>
  </w:style>
  <w:style w:type="paragraph" w:styleId="Funotentext">
    <w:name w:val="footnote text"/>
    <w:basedOn w:val="Standard"/>
    <w:link w:val="FunotentextZchn"/>
    <w:uiPriority w:val="99"/>
    <w:semiHidden/>
    <w:unhideWhenUsed/>
    <w:rsid w:val="00A323A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323A6"/>
    <w:rPr>
      <w:rFonts w:ascii="Times New Roman" w:eastAsia="Times New Roman" w:hAnsi="Times New Roman" w:cs="Times New Roman"/>
      <w:color w:val="000000"/>
      <w:sz w:val="20"/>
      <w:szCs w:val="20"/>
      <w:lang w:val="nl-NL" w:eastAsia="nl-NL" w:bidi="nl-NL"/>
    </w:rPr>
  </w:style>
  <w:style w:type="character" w:styleId="Funotenzeichen">
    <w:name w:val="footnote reference"/>
    <w:basedOn w:val="Absatz-Standardschriftart"/>
    <w:uiPriority w:val="99"/>
    <w:semiHidden/>
    <w:unhideWhenUsed/>
    <w:rsid w:val="00A323A6"/>
    <w:rPr>
      <w:vertAlign w:val="superscript"/>
    </w:rPr>
  </w:style>
  <w:style w:type="paragraph" w:styleId="Kopfzeile">
    <w:name w:val="header"/>
    <w:basedOn w:val="Standard"/>
    <w:link w:val="KopfzeileZchn"/>
    <w:uiPriority w:val="99"/>
    <w:unhideWhenUsed/>
    <w:rsid w:val="00BE1B8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1B89"/>
    <w:rPr>
      <w:rFonts w:ascii="Times New Roman" w:hAnsi="Times New Roman"/>
      <w:kern w:val="0"/>
      <w:szCs w:val="22"/>
      <w:lang w:val="en-US" w:eastAsia="en-US"/>
      <w14:ligatures w14:val="none"/>
    </w:rPr>
  </w:style>
  <w:style w:type="paragraph" w:styleId="Fuzeile">
    <w:name w:val="footer"/>
    <w:basedOn w:val="Standard"/>
    <w:link w:val="FuzeileZchn"/>
    <w:uiPriority w:val="99"/>
    <w:unhideWhenUsed/>
    <w:rsid w:val="00BE1B8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1B89"/>
    <w:rPr>
      <w:rFonts w:ascii="Times New Roman" w:hAnsi="Times New Roman"/>
      <w:kern w:val="0"/>
      <w:szCs w:val="22"/>
      <w:lang w:val="en-US" w:eastAsia="en-US"/>
      <w14:ligatures w14:val="none"/>
    </w:rPr>
  </w:style>
  <w:style w:type="paragraph" w:customStyle="1" w:styleId="font-claude-response-body">
    <w:name w:val="font-claude-response-body"/>
    <w:basedOn w:val="Standard"/>
    <w:rsid w:val="009231D7"/>
    <w:pPr>
      <w:spacing w:before="100" w:beforeAutospacing="1" w:after="100" w:afterAutospacing="1" w:line="240" w:lineRule="auto"/>
    </w:pPr>
    <w:rPr>
      <w:lang w:val="en-CA"/>
    </w:rPr>
  </w:style>
  <w:style w:type="character" w:styleId="Hervorhebung">
    <w:name w:val="Emphasis"/>
    <w:basedOn w:val="Absatz-Standardschriftart"/>
    <w:uiPriority w:val="20"/>
    <w:qFormat/>
    <w:rsid w:val="006B1342"/>
    <w:rPr>
      <w:i/>
      <w:iCs/>
    </w:rPr>
  </w:style>
  <w:style w:type="character" w:styleId="Kommentarzeichen">
    <w:name w:val="annotation reference"/>
    <w:basedOn w:val="Absatz-Standardschriftart"/>
    <w:uiPriority w:val="99"/>
    <w:semiHidden/>
    <w:unhideWhenUsed/>
    <w:rsid w:val="00BE1B89"/>
    <w:rPr>
      <w:sz w:val="16"/>
      <w:szCs w:val="16"/>
    </w:rPr>
  </w:style>
  <w:style w:type="paragraph" w:styleId="Kommentartext">
    <w:name w:val="annotation text"/>
    <w:basedOn w:val="Standard"/>
    <w:link w:val="KommentartextZchn"/>
    <w:uiPriority w:val="99"/>
    <w:semiHidden/>
    <w:unhideWhenUsed/>
    <w:rsid w:val="00F83EC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83ECE"/>
    <w:rPr>
      <w:rFonts w:ascii="Times New Roman" w:eastAsia="Times New Roman" w:hAnsi="Times New Roman" w:cs="Times New Roman"/>
      <w:color w:val="000000"/>
      <w:sz w:val="20"/>
      <w:szCs w:val="20"/>
      <w:lang w:val="nl-NL" w:eastAsia="nl-NL" w:bidi="nl-NL"/>
    </w:rPr>
  </w:style>
  <w:style w:type="paragraph" w:styleId="Kommentarthema">
    <w:name w:val="annotation subject"/>
    <w:basedOn w:val="Kommentartext"/>
    <w:next w:val="Kommentartext"/>
    <w:link w:val="KommentarthemaZchn"/>
    <w:uiPriority w:val="99"/>
    <w:semiHidden/>
    <w:unhideWhenUsed/>
    <w:rsid w:val="00F83ECE"/>
    <w:rPr>
      <w:b/>
      <w:bCs/>
    </w:rPr>
  </w:style>
  <w:style w:type="character" w:customStyle="1" w:styleId="KommentarthemaZchn">
    <w:name w:val="Kommentarthema Zchn"/>
    <w:basedOn w:val="KommentartextZchn"/>
    <w:link w:val="Kommentarthema"/>
    <w:uiPriority w:val="99"/>
    <w:semiHidden/>
    <w:rsid w:val="00F83ECE"/>
    <w:rPr>
      <w:rFonts w:ascii="Times New Roman" w:eastAsia="Times New Roman" w:hAnsi="Times New Roman" w:cs="Times New Roman"/>
      <w:b/>
      <w:bCs/>
      <w:color w:val="000000"/>
      <w:sz w:val="20"/>
      <w:szCs w:val="20"/>
      <w:lang w:val="nl-NL" w:eastAsia="nl-NL" w:bidi="nl-NL"/>
    </w:rPr>
  </w:style>
  <w:style w:type="character" w:customStyle="1" w:styleId="berschrift3Zchn">
    <w:name w:val="Überschrift 3 Zchn"/>
    <w:basedOn w:val="Absatz-Standardschriftart"/>
    <w:link w:val="berschrift3"/>
    <w:uiPriority w:val="9"/>
    <w:rsid w:val="00BE1B89"/>
    <w:rPr>
      <w:rFonts w:ascii="Times New Roman" w:hAnsi="Times New Roman"/>
      <w:bCs/>
      <w:i/>
      <w:iCs/>
      <w:kern w:val="0"/>
      <w:lang w:val="en-US" w:eastAsia="en-US"/>
      <w14:ligatures w14:val="none"/>
    </w:rPr>
  </w:style>
  <w:style w:type="character" w:customStyle="1" w:styleId="berschrift4Zchn">
    <w:name w:val="Überschrift 4 Zchn"/>
    <w:basedOn w:val="Absatz-Standardschriftart"/>
    <w:link w:val="berschrift4"/>
    <w:uiPriority w:val="9"/>
    <w:semiHidden/>
    <w:rsid w:val="00BE1B89"/>
    <w:rPr>
      <w:rFonts w:ascii="Times New Roman" w:eastAsiaTheme="majorEastAsia" w:hAnsi="Times New Roman" w:cstheme="majorBidi"/>
      <w:i/>
      <w:iCs/>
      <w:color w:val="0F4761" w:themeColor="accent1" w:themeShade="BF"/>
      <w:kern w:val="0"/>
      <w:szCs w:val="22"/>
      <w:lang w:val="en-US" w:eastAsia="en-US"/>
      <w14:ligatures w14:val="none"/>
    </w:rPr>
  </w:style>
  <w:style w:type="character" w:customStyle="1" w:styleId="berschrift5Zchn">
    <w:name w:val="Überschrift 5 Zchn"/>
    <w:basedOn w:val="Absatz-Standardschriftart"/>
    <w:link w:val="berschrift5"/>
    <w:uiPriority w:val="9"/>
    <w:semiHidden/>
    <w:rsid w:val="00BE1B89"/>
    <w:rPr>
      <w:rFonts w:ascii="Times New Roman" w:eastAsiaTheme="majorEastAsia" w:hAnsi="Times New Roman" w:cstheme="majorBidi"/>
      <w:color w:val="0F4761" w:themeColor="accent1" w:themeShade="BF"/>
      <w:kern w:val="0"/>
      <w:szCs w:val="22"/>
      <w:lang w:val="en-US" w:eastAsia="en-US"/>
      <w14:ligatures w14:val="none"/>
    </w:rPr>
  </w:style>
  <w:style w:type="character" w:customStyle="1" w:styleId="berschrift6Zchn">
    <w:name w:val="Überschrift 6 Zchn"/>
    <w:basedOn w:val="Absatz-Standardschriftart"/>
    <w:link w:val="berschrift6"/>
    <w:uiPriority w:val="9"/>
    <w:semiHidden/>
    <w:rsid w:val="00BE1B89"/>
    <w:rPr>
      <w:rFonts w:ascii="Times New Roman" w:eastAsiaTheme="majorEastAsia" w:hAnsi="Times New Roman" w:cstheme="majorBidi"/>
      <w:i/>
      <w:iCs/>
      <w:color w:val="595959" w:themeColor="text1" w:themeTint="A6"/>
      <w:kern w:val="0"/>
      <w:szCs w:val="22"/>
      <w:lang w:val="en-US" w:eastAsia="en-US"/>
      <w14:ligatures w14:val="none"/>
    </w:rPr>
  </w:style>
  <w:style w:type="character" w:customStyle="1" w:styleId="berschrift7Zchn">
    <w:name w:val="Überschrift 7 Zchn"/>
    <w:basedOn w:val="Absatz-Standardschriftart"/>
    <w:link w:val="berschrift7"/>
    <w:uiPriority w:val="9"/>
    <w:semiHidden/>
    <w:rsid w:val="00BE1B89"/>
    <w:rPr>
      <w:rFonts w:ascii="Times New Roman" w:eastAsiaTheme="majorEastAsia" w:hAnsi="Times New Roman" w:cstheme="majorBidi"/>
      <w:color w:val="595959" w:themeColor="text1" w:themeTint="A6"/>
      <w:kern w:val="0"/>
      <w:szCs w:val="22"/>
      <w:lang w:val="en-US" w:eastAsia="en-US"/>
      <w14:ligatures w14:val="none"/>
    </w:rPr>
  </w:style>
  <w:style w:type="character" w:customStyle="1" w:styleId="berschrift8Zchn">
    <w:name w:val="Überschrift 8 Zchn"/>
    <w:basedOn w:val="Absatz-Standardschriftart"/>
    <w:link w:val="berschrift8"/>
    <w:uiPriority w:val="9"/>
    <w:semiHidden/>
    <w:rsid w:val="00BE1B89"/>
    <w:rPr>
      <w:rFonts w:ascii="Times New Roman" w:eastAsiaTheme="majorEastAsia" w:hAnsi="Times New Roman" w:cstheme="majorBidi"/>
      <w:i/>
      <w:iCs/>
      <w:color w:val="272727" w:themeColor="text1" w:themeTint="D8"/>
      <w:kern w:val="0"/>
      <w:szCs w:val="22"/>
      <w:lang w:val="en-US" w:eastAsia="en-US"/>
      <w14:ligatures w14:val="none"/>
    </w:rPr>
  </w:style>
  <w:style w:type="character" w:customStyle="1" w:styleId="berschrift9Zchn">
    <w:name w:val="Überschrift 9 Zchn"/>
    <w:basedOn w:val="Absatz-Standardschriftart"/>
    <w:link w:val="berschrift9"/>
    <w:uiPriority w:val="9"/>
    <w:semiHidden/>
    <w:rsid w:val="00BE1B89"/>
    <w:rPr>
      <w:rFonts w:ascii="Times New Roman" w:eastAsiaTheme="majorEastAsia" w:hAnsi="Times New Roman" w:cstheme="majorBidi"/>
      <w:color w:val="272727" w:themeColor="text1" w:themeTint="D8"/>
      <w:kern w:val="0"/>
      <w:szCs w:val="22"/>
      <w:lang w:val="en-US" w:eastAsia="en-US"/>
      <w14:ligatures w14:val="none"/>
    </w:rPr>
  </w:style>
  <w:style w:type="paragraph" w:styleId="Titel">
    <w:name w:val="Title"/>
    <w:basedOn w:val="Standard"/>
    <w:next w:val="Standard"/>
    <w:link w:val="TitelZchn"/>
    <w:uiPriority w:val="10"/>
    <w:qFormat/>
    <w:rsid w:val="00BE1B89"/>
    <w:rPr>
      <w:b/>
      <w:sz w:val="36"/>
      <w:szCs w:val="36"/>
    </w:rPr>
  </w:style>
  <w:style w:type="character" w:customStyle="1" w:styleId="TitelZchn">
    <w:name w:val="Titel Zchn"/>
    <w:basedOn w:val="Absatz-Standardschriftart"/>
    <w:link w:val="Titel"/>
    <w:uiPriority w:val="10"/>
    <w:rsid w:val="00BE1B89"/>
    <w:rPr>
      <w:rFonts w:ascii="Times New Roman" w:hAnsi="Times New Roman"/>
      <w:b/>
      <w:kern w:val="0"/>
      <w:sz w:val="36"/>
      <w:szCs w:val="36"/>
      <w:lang w:val="en-US" w:eastAsia="en-US"/>
      <w14:ligatures w14:val="none"/>
    </w:rPr>
  </w:style>
  <w:style w:type="paragraph" w:styleId="Untertitel">
    <w:name w:val="Subtitle"/>
    <w:basedOn w:val="Standard"/>
    <w:next w:val="Standard"/>
    <w:link w:val="UntertitelZchn"/>
    <w:uiPriority w:val="11"/>
    <w:qFormat/>
    <w:rsid w:val="00BE1B8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1B89"/>
    <w:rPr>
      <w:rFonts w:ascii="Times New Roman" w:eastAsiaTheme="majorEastAsia" w:hAnsi="Times New Roman" w:cstheme="majorBidi"/>
      <w:color w:val="595959" w:themeColor="text1" w:themeTint="A6"/>
      <w:spacing w:val="15"/>
      <w:kern w:val="0"/>
      <w:sz w:val="28"/>
      <w:szCs w:val="28"/>
      <w:lang w:val="en-US" w:eastAsia="en-US"/>
      <w14:ligatures w14:val="none"/>
    </w:rPr>
  </w:style>
  <w:style w:type="paragraph" w:styleId="Zitat">
    <w:name w:val="Quote"/>
    <w:basedOn w:val="Standard"/>
    <w:next w:val="Standard"/>
    <w:link w:val="ZitatZchn"/>
    <w:uiPriority w:val="29"/>
    <w:qFormat/>
    <w:rsid w:val="00BE1B8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E1B89"/>
    <w:rPr>
      <w:rFonts w:ascii="Times New Roman" w:hAnsi="Times New Roman"/>
      <w:i/>
      <w:iCs/>
      <w:color w:val="404040" w:themeColor="text1" w:themeTint="BF"/>
      <w:kern w:val="0"/>
      <w:szCs w:val="22"/>
      <w:lang w:val="en-US" w:eastAsia="en-US"/>
      <w14:ligatures w14:val="none"/>
    </w:rPr>
  </w:style>
  <w:style w:type="paragraph" w:styleId="Listenabsatz">
    <w:name w:val="List Paragraph"/>
    <w:basedOn w:val="Standard"/>
    <w:uiPriority w:val="34"/>
    <w:qFormat/>
    <w:rsid w:val="00BE1B89"/>
    <w:pPr>
      <w:ind w:left="720"/>
      <w:contextualSpacing/>
    </w:pPr>
  </w:style>
  <w:style w:type="character" w:styleId="IntensiveHervorhebung">
    <w:name w:val="Intense Emphasis"/>
    <w:basedOn w:val="Absatz-Standardschriftart"/>
    <w:uiPriority w:val="21"/>
    <w:qFormat/>
    <w:rsid w:val="00BE1B89"/>
    <w:rPr>
      <w:i/>
      <w:iCs/>
      <w:color w:val="0F4761" w:themeColor="accent1" w:themeShade="BF"/>
    </w:rPr>
  </w:style>
  <w:style w:type="paragraph" w:styleId="IntensivesZitat">
    <w:name w:val="Intense Quote"/>
    <w:basedOn w:val="Standard"/>
    <w:next w:val="Standard"/>
    <w:link w:val="IntensivesZitatZchn"/>
    <w:uiPriority w:val="30"/>
    <w:qFormat/>
    <w:rsid w:val="00BE1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1B89"/>
    <w:rPr>
      <w:rFonts w:ascii="Times New Roman" w:hAnsi="Times New Roman"/>
      <w:i/>
      <w:iCs/>
      <w:color w:val="0F4761" w:themeColor="accent1" w:themeShade="BF"/>
      <w:kern w:val="0"/>
      <w:szCs w:val="22"/>
      <w:lang w:val="en-US" w:eastAsia="en-US"/>
      <w14:ligatures w14:val="none"/>
    </w:rPr>
  </w:style>
  <w:style w:type="character" w:styleId="IntensiverVerweis">
    <w:name w:val="Intense Reference"/>
    <w:basedOn w:val="Absatz-Standardschriftart"/>
    <w:uiPriority w:val="32"/>
    <w:qFormat/>
    <w:rsid w:val="00BE1B89"/>
    <w:rPr>
      <w:b/>
      <w:bCs/>
      <w:smallCaps/>
      <w:color w:val="0F4761" w:themeColor="accent1" w:themeShade="BF"/>
      <w:spacing w:val="5"/>
    </w:rPr>
  </w:style>
  <w:style w:type="character" w:styleId="Seitenzahl">
    <w:name w:val="page number"/>
    <w:basedOn w:val="Absatz-Standardschriftart"/>
    <w:uiPriority w:val="99"/>
    <w:semiHidden/>
    <w:unhideWhenUsed/>
    <w:rsid w:val="00BE1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schkolnig/Library/Group%20Containers/UBF8T346G9.Office/User%20Content.localized/Templates.localized/chapter-templat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chapter-template.dotx</Template>
  <TotalTime>0</TotalTime>
  <Pages>16</Pages>
  <Words>7280</Words>
  <Characters>45864</Characters>
  <Application>Microsoft Office Word</Application>
  <DocSecurity>0</DocSecurity>
  <Lines>382</Lines>
  <Paragraphs>106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Wester</dc:creator>
  <cp:keywords/>
  <cp:lastModifiedBy>Caroline Laschkolnig</cp:lastModifiedBy>
  <cp:revision>63</cp:revision>
  <dcterms:created xsi:type="dcterms:W3CDTF">2026-03-11T07:47:00Z</dcterms:created>
  <dcterms:modified xsi:type="dcterms:W3CDTF">2026-09-29T10:43:00Z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9e255e7998c80ebb047adad9598bf476c37c91a565e7cf1281f481901c4c1a21</vt:lpwstr>
  </property>
  <property fmtid="{D5CDD505-2E9C-101B-9397-08002B2CF9AE}" pid="3" name="MSIP_Label_8772ba27-cab8-4042-a351-a31f6e4eacdc_Enabled">
    <vt:lpwstr>true</vt:lpwstr>
  </property>
  <property fmtid="{D5CDD505-2E9C-101B-9397-08002B2CF9AE}" pid="4" name="MSIP_Label_8772ba27-cab8-4042-a351-a31f6e4eacdc_SetDate">
    <vt:lpwstr>2026-03-11T08:46:08Z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abf8b539-0c21-41c3-9985-fc45c1d604d5</vt:lpwstr>
  </property>
  <property fmtid="{D5CDD505-2E9C-101B-9397-08002B2CF9AE}" pid="9" name="MSIP_Label_8772ba27-cab8-4042-a351-a31f6e4eacdc_ContentBits">
    <vt:lpwstr>0</vt:lpwstr>
  </property>
  <property fmtid="{D5CDD505-2E9C-101B-9397-08002B2CF9AE}" pid="10" name="MSIP_Label_8772ba27-cab8-4042-a351-a31f6e4eacdc_Tag">
    <vt:lpwstr>50, 3, 0, 1</vt:lpwstr>
  </property>
</Properties>
</file>