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Comparison of Naming and Formatting Conventions in C# and Java</w:t>
      </w:r>
      <w:r/>
    </w:p>
    <w:p>
      <w:pPr>
        <w:pStyle w:val="15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Naming Conventions</w:t>
      </w:r>
      <w:r/>
    </w:p>
    <w:p>
      <w:pPr>
        <w:pStyle w:val="17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1.1 Class Names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C#: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PascalCase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 </w:t>
      </w:r>
      <w:r>
        <w:rPr>
          <w:rFonts w:ascii="Courier New" w:hAnsi="Courier New" w:eastAsia="Courier New" w:cs="Courier New"/>
          <w:color w:val="000000"/>
          <w:sz w:val="20"/>
        </w:rPr>
        <w:t xml:space="preserve">CustomerOrder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EmployeeDetails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Java: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CamelCase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UpperCamelCase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(similar to PascalCase).</w:t>
      </w:r>
      <w:r/>
    </w:p>
    <w:p>
      <w:pPr>
        <w:pStyle w:val="621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 </w:t>
      </w:r>
      <w:r>
        <w:rPr>
          <w:rFonts w:ascii="Courier New" w:hAnsi="Courier New" w:eastAsia="Courier New" w:cs="Courier New"/>
          <w:color w:val="000000"/>
          <w:sz w:val="20"/>
        </w:rPr>
        <w:t xml:space="preserve">CustomerOrder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EmployeeDetails</w:t>
      </w:r>
      <w:r/>
    </w:p>
    <w:p>
      <w:pPr>
        <w:pStyle w:val="17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1.2 Method Names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C#:</w:t>
      </w:r>
      <w:r/>
    </w:p>
    <w:p>
      <w:pPr>
        <w:pStyle w:val="621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PascalCase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 </w:t>
      </w:r>
      <w:r>
        <w:rPr>
          <w:rFonts w:ascii="Courier New" w:hAnsi="Courier New" w:eastAsia="Courier New" w:cs="Courier New"/>
          <w:color w:val="000000"/>
          <w:sz w:val="20"/>
        </w:rPr>
        <w:t xml:space="preserve">CalculateSalary()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GetCustomerDetails()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Java:</w:t>
      </w:r>
      <w:r/>
    </w:p>
    <w:p>
      <w:pPr>
        <w:pStyle w:val="621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camelCase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 </w:t>
      </w:r>
      <w:r>
        <w:rPr>
          <w:rFonts w:ascii="Courier New" w:hAnsi="Courier New" w:eastAsia="Courier New" w:cs="Courier New"/>
          <w:color w:val="000000"/>
          <w:sz w:val="20"/>
        </w:rPr>
        <w:t xml:space="preserve">calculateSalary()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getCustomerDetails()</w:t>
      </w:r>
      <w:r/>
    </w:p>
    <w:p>
      <w:pPr>
        <w:pStyle w:val="17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1.3 Variable Names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C#:</w:t>
      </w:r>
      <w:r/>
    </w:p>
    <w:p>
      <w:pPr>
        <w:pStyle w:val="621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camelCase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local variables and parameters.</w:t>
      </w:r>
      <w:r/>
    </w:p>
    <w:p>
      <w:pPr>
        <w:pStyle w:val="621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 </w:t>
      </w:r>
      <w:r>
        <w:rPr>
          <w:rFonts w:ascii="Courier New" w:hAnsi="Courier New" w:eastAsia="Courier New" w:cs="Courier New"/>
          <w:color w:val="000000"/>
          <w:sz w:val="20"/>
        </w:rPr>
        <w:t xml:space="preserve">customerName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totalAmount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Java:</w:t>
      </w:r>
      <w:r/>
    </w:p>
    <w:p>
      <w:pPr>
        <w:pStyle w:val="621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camelCase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variable names.</w:t>
      </w:r>
      <w:r/>
    </w:p>
    <w:p>
      <w:pPr>
        <w:pStyle w:val="621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 </w:t>
      </w:r>
      <w:r>
        <w:rPr>
          <w:rFonts w:ascii="Courier New" w:hAnsi="Courier New" w:eastAsia="Courier New" w:cs="Courier New"/>
          <w:color w:val="000000"/>
          <w:sz w:val="20"/>
        </w:rPr>
        <w:t xml:space="preserve">customerName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totalAmount</w:t>
      </w:r>
      <w:r/>
    </w:p>
    <w:p>
      <w:pPr>
        <w:pStyle w:val="17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1.4 Constant Names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C#:</w:t>
      </w:r>
      <w:r/>
    </w:p>
    <w:p>
      <w:pPr>
        <w:pStyle w:val="621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PascalCase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constants.</w:t>
      </w:r>
      <w:r/>
    </w:p>
    <w:p>
      <w:pPr>
        <w:pStyle w:val="621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 </w:t>
      </w:r>
      <w:r>
        <w:rPr>
          <w:rFonts w:ascii="Courier New" w:hAnsi="Courier New" w:eastAsia="Courier New" w:cs="Courier New"/>
          <w:color w:val="000000"/>
          <w:sz w:val="20"/>
        </w:rPr>
        <w:t xml:space="preserve">Pi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MaxLength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Java:</w:t>
      </w:r>
      <w:r/>
    </w:p>
    <w:p>
      <w:pPr>
        <w:pStyle w:val="621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UPPER_CASE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underscores for constants.</w:t>
      </w:r>
      <w:r/>
    </w:p>
    <w:p>
      <w:pPr>
        <w:pStyle w:val="621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 </w:t>
      </w:r>
      <w:r>
        <w:rPr>
          <w:rFonts w:ascii="Courier New" w:hAnsi="Courier New" w:eastAsia="Courier New" w:cs="Courier New"/>
          <w:color w:val="000000"/>
          <w:sz w:val="20"/>
        </w:rPr>
        <w:t xml:space="preserve">PI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MAX_LENGTH</w:t>
      </w:r>
      <w:r/>
    </w:p>
    <w:p>
      <w:pPr>
        <w:pStyle w:val="17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1.5 Interface Names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C#:</w:t>
      </w:r>
      <w:r/>
    </w:p>
    <w:p>
      <w:pPr>
        <w:pStyle w:val="621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Prefix interface names with 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'I'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 </w:t>
      </w:r>
      <w:r>
        <w:rPr>
          <w:rFonts w:ascii="Courier New" w:hAnsi="Courier New" w:eastAsia="Courier New" w:cs="Courier New"/>
          <w:color w:val="000000"/>
          <w:sz w:val="20"/>
        </w:rPr>
        <w:t xml:space="preserve">ICustomerRepository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ILoginService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Java:</w:t>
      </w:r>
      <w:r/>
    </w:p>
    <w:p>
      <w:pPr>
        <w:pStyle w:val="621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 not prefix interface names with 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'I'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5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 </w:t>
      </w:r>
      <w:r>
        <w:rPr>
          <w:rFonts w:ascii="Courier New" w:hAnsi="Courier New" w:eastAsia="Courier New" w:cs="Courier New"/>
          <w:color w:val="000000"/>
          <w:sz w:val="20"/>
        </w:rPr>
        <w:t xml:space="preserve">CustomerRepository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LoginService</w:t>
      </w:r>
      <w:r/>
    </w:p>
    <w:p>
      <w:pPr>
        <w:pStyle w:val="15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Formatting Conventions</w:t>
      </w:r>
      <w:r/>
    </w:p>
    <w:p>
      <w:pPr>
        <w:pStyle w:val="17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2.1 Indentation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C#:</w:t>
      </w:r>
      <w:r/>
    </w:p>
    <w:p>
      <w:pPr>
        <w:pStyle w:val="621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 spaces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indentation.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Java:</w:t>
      </w:r>
      <w:r/>
    </w:p>
    <w:p>
      <w:pPr>
        <w:pStyle w:val="621"/>
        <w:numPr>
          <w:ilvl w:val="0"/>
          <w:numId w:val="6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 spaces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indentation.</w:t>
      </w:r>
      <w:r/>
    </w:p>
    <w:p>
      <w:pPr>
        <w:pStyle w:val="17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2.2 Braces Placement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C#:</w:t>
      </w:r>
      <w:r/>
    </w:p>
    <w:p>
      <w:pPr>
        <w:pStyle w:val="621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next line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style for braces.</w:t>
      </w:r>
      <w:r/>
    </w:p>
    <w:p>
      <w:pPr>
        <w:pStyle w:val="621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</w:t>
      </w:r>
      <w:r/>
    </w:p>
    <w:p>
      <w:pPr>
        <w:ind w:left="709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if (condition)</w:t>
      </w:r>
      <w:r/>
    </w:p>
    <w:p>
      <w:pPr>
        <w:ind w:left="709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{</w:t>
      </w:r>
      <w:r/>
    </w:p>
    <w:p>
      <w:pPr>
        <w:ind w:left="709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// code</w:t>
      </w:r>
      <w:r/>
    </w:p>
    <w:p>
      <w:pPr>
        <w:ind w:left="709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Java:</w:t>
      </w:r>
      <w:r/>
    </w:p>
    <w:p>
      <w:pPr>
        <w:pStyle w:val="621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same line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style for braces.</w:t>
      </w:r>
      <w:r/>
    </w:p>
    <w:p>
      <w:pPr>
        <w:pStyle w:val="621"/>
        <w:numPr>
          <w:ilvl w:val="0"/>
          <w:numId w:val="7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</w:t>
      </w:r>
      <w:r/>
    </w:p>
    <w:p>
      <w:pPr>
        <w:ind w:left="709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if (condition) {</w:t>
      </w:r>
      <w:r/>
    </w:p>
    <w:p>
      <w:pPr>
        <w:ind w:left="709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// code</w:t>
      </w:r>
      <w:r/>
    </w:p>
    <w:p>
      <w:pPr>
        <w:ind w:left="709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Style w:val="17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2.3 Line Length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C#:</w:t>
      </w:r>
      <w:r/>
    </w:p>
    <w:p>
      <w:pPr>
        <w:pStyle w:val="621"/>
        <w:numPr>
          <w:ilvl w:val="0"/>
          <w:numId w:val="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Recommended maximum line length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120 characters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Java:</w:t>
      </w:r>
      <w:r/>
    </w:p>
    <w:p>
      <w:pPr>
        <w:pStyle w:val="621"/>
        <w:numPr>
          <w:ilvl w:val="0"/>
          <w:numId w:val="8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Recommended maximum line length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80 characters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7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2.4 Blank Lines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C#:</w:t>
      </w:r>
      <w:r/>
    </w:p>
    <w:p>
      <w:pPr>
        <w:pStyle w:val="621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blank lines to separate logical sections of code.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Java:</w:t>
      </w:r>
      <w:r/>
    </w:p>
    <w:p>
      <w:pPr>
        <w:pStyle w:val="621"/>
        <w:numPr>
          <w:ilvl w:val="0"/>
          <w:numId w:val="9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blank lines to separate logically related groups of code.</w:t>
      </w:r>
      <w:r/>
    </w:p>
    <w:p>
      <w:pPr>
        <w:pStyle w:val="15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Summary Table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19"/>
        <w:gridCol w:w="2386"/>
        <w:gridCol w:w="28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Aspect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8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C#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3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Java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Class Names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8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PascalCase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CamelCase/UpperCamelCase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Method Names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8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PascalCase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camelCase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Variable Names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8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camelCase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camelCase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Constant Names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8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PascalCase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UPPER_CASE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Interface Names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8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Prefix with 'I'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prefix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Indentation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8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 spaces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 spaces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Braces Placement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8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Next line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Same line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Line Length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8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120 characters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80 characters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Blank Lines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8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Between logical sections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Between logical sections</w:t>
            </w:r>
            <w:r/>
          </w:p>
        </w:tc>
      </w:tr>
    </w:tbl>
    <w:p>
      <w:pPr>
        <w:pStyle w:val="15"/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Conclusion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Both C# and Java share many similar conventions, such as indentation with 4 spaces and the use of camelCase for variable names. However, there are notable differences, such as the placement of braces and naming conventions for interfaces and constants. Adh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ering to these conventions helps maintain code readability and consistency within projects written in these languages.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2025-01-09T03:27:59Z</dcterms:modified>
</cp:coreProperties>
</file>