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 w:eastAsia="Microsoft YaHei"/>
          <w:b/>
          <w:color w:val="17365D"/>
          <w:sz w:val="50"/>
        </w:rPr>
        <w:t>三丰智能 AI 落地商业方案</w:t>
      </w:r>
    </w:p>
    <w:p>
      <w:pPr>
        <w:spacing w:after="360" w:line="276" w:lineRule="auto"/>
        <w:jc w:val="center"/>
      </w:pPr>
      <w:r>
        <w:rPr>
          <w:rFonts w:ascii="Arial" w:hAnsi="Arial" w:eastAsia="Microsoft YaHei"/>
          <w:b/>
          <w:color w:val="2E74B5"/>
          <w:sz w:val="28"/>
        </w:rPr>
        <w:t>困难与价值 · 项目优先级 · 分阶段交付 · 排期与投资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23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决策事项</w:t>
            </w:r>
          </w:p>
        </w:tc>
        <w:tc>
          <w:tcPr>
            <w:tcW w:type="dxa" w:w="727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建议方案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首期范围</w:t>
            </w:r>
          </w:p>
        </w:tc>
        <w:tc>
          <w:tcPr>
            <w:tcW w:type="dxa" w:w="72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第一阶段诊断设计 + 第二阶段双场景生产级试点</w:t>
            </w:r>
          </w:p>
        </w:tc>
      </w:tr>
      <w:tr>
        <w:tc>
          <w:tcPr>
            <w:tcW w:type="dxa" w:w="22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首期服务费</w:t>
            </w:r>
          </w:p>
        </w:tc>
        <w:tc>
          <w:tcPr>
            <w:tcW w:type="dxa" w:w="727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158万元：第一阶段28万元 + 第二阶段130万元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客户首期总预算</w:t>
            </w:r>
          </w:p>
        </w:tc>
        <w:tc>
          <w:tcPr>
            <w:tcW w:type="dxa" w:w="72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建议预留210-260万元，包含外部成本、运维及预备金</w:t>
            </w:r>
          </w:p>
        </w:tc>
      </w:tr>
      <w:tr>
        <w:tc>
          <w:tcPr>
            <w:tcW w:type="dxa" w:w="22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首期周期</w:t>
            </w:r>
          </w:p>
        </w:tc>
        <w:tc>
          <w:tcPr>
            <w:tcW w:type="dxa" w:w="727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约19周：诊断3周 + 双场景生产级试点16周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控制原则</w:t>
            </w:r>
          </w:p>
        </w:tc>
        <w:tc>
          <w:tcPr>
            <w:tcW w:type="dxa" w:w="72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上一阶段未达到验收门槛，不启动下一阶段投入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建议董事长本次决策：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批准第一阶段28万元诊断与总体设计；第二阶段130万元在第一阶段达到实施条件后启动。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一、总体交付与投资路线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商业策略：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不建议一次性采购七个项目。采用分阶段签约与阶段决策门，让每笔投入均对应明确交付物、业务指标和下一步投资依据。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44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51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67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核心工作</w:t>
            </w:r>
          </w:p>
        </w:tc>
        <w:tc>
          <w:tcPr>
            <w:tcW w:type="dxa" w:w="165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建议服务费</w:t>
            </w:r>
          </w:p>
        </w:tc>
        <w:tc>
          <w:tcPr>
            <w:tcW w:type="dxa" w:w="165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资金决策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第一阶段</w:t>
            </w:r>
          </w:p>
        </w:tc>
        <w:tc>
          <w:tcPr>
            <w:tcW w:type="dxa" w:w="15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第1-3周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现状诊断、目标六七成果审计、目标四五详细方案</w:t>
            </w:r>
          </w:p>
        </w:tc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28万元</w:t>
            </w:r>
          </w:p>
        </w:tc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确认能否进入生产级试点</w:t>
            </w:r>
          </w:p>
        </w:tc>
      </w:tr>
      <w:tr>
        <w:tc>
          <w:tcPr>
            <w:tcW w:type="dxa" w:w="144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第二阶段</w:t>
            </w:r>
          </w:p>
        </w:tc>
        <w:tc>
          <w:tcPr>
            <w:tcW w:type="dxa" w:w="151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第4-19周</w:t>
            </w:r>
          </w:p>
        </w:tc>
        <w:tc>
          <w:tcPr>
            <w:tcW w:type="dxa" w:w="367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目标四计划单据自动化 + 目标五审批助手生产级试点</w:t>
            </w:r>
          </w:p>
        </w:tc>
        <w:tc>
          <w:tcPr>
            <w:tcW w:type="dxa" w:w="165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130万元</w:t>
            </w:r>
          </w:p>
        </w:tc>
        <w:tc>
          <w:tcPr>
            <w:tcW w:type="dxa" w:w="165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根据实际收益决定扩围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第三阶段</w:t>
            </w:r>
          </w:p>
        </w:tc>
        <w:tc>
          <w:tcPr>
            <w:tcW w:type="dxa" w:w="15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第6-12个月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目标一、二及现有项目优化，按模块选择</w:t>
            </w:r>
          </w:p>
        </w:tc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100-210万元</w:t>
            </w:r>
          </w:p>
        </w:tc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逐模块签约、逐模块验收</w:t>
            </w:r>
          </w:p>
        </w:tc>
      </w:tr>
      <w:tr>
        <w:tc>
          <w:tcPr>
            <w:tcW w:type="dxa" w:w="144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第四阶段</w:t>
            </w:r>
          </w:p>
        </w:tc>
        <w:tc>
          <w:tcPr>
            <w:tcW w:type="dxa" w:w="151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第10-18个月</w:t>
            </w:r>
          </w:p>
        </w:tc>
        <w:tc>
          <w:tcPr>
            <w:tcW w:type="dxa" w:w="367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目标三生产智能排程准备度评估与实施</w:t>
            </w:r>
          </w:p>
        </w:tc>
        <w:tc>
          <w:tcPr>
            <w:tcW w:type="dxa" w:w="165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120-220万元</w:t>
            </w:r>
          </w:p>
        </w:tc>
        <w:tc>
          <w:tcPr>
            <w:tcW w:type="dxa" w:w="165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数据准备度达标后投入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1.1 为什么必须分阶段</w:t>
      </w:r>
    </w:p>
    <w:p>
      <w:pPr>
        <w:pStyle w:val="ListBullet"/>
        <w:spacing w:after="60"/>
        <w:ind w:left="432" w:hanging="216"/>
      </w:pPr>
      <w:r>
        <w:rPr>
          <w:rFonts w:ascii="Arial" w:hAnsi="Arial" w:eastAsia="Microsoft YaHei"/>
          <w:b w:val="0"/>
          <w:color w:val="000000"/>
          <w:sz w:val="20"/>
        </w:rPr>
        <w:t>OA、PLM、ERP接口条件和第三方厂商费用尚未确认，直接固定总价会放大双方风险。</w:t>
      </w:r>
    </w:p>
    <w:p>
      <w:pPr>
        <w:pStyle w:val="ListBullet"/>
        <w:spacing w:after="60"/>
        <w:ind w:left="432" w:hanging="216"/>
      </w:pPr>
      <w:r>
        <w:rPr>
          <w:rFonts w:ascii="Arial" w:hAnsi="Arial" w:eastAsia="Microsoft YaHei"/>
          <w:b w:val="0"/>
          <w:color w:val="000000"/>
          <w:sz w:val="20"/>
        </w:rPr>
        <w:t>目标六和目标七已经完成，需要先量化真实收益并识别可复用资产，避免重复建设。</w:t>
      </w:r>
    </w:p>
    <w:p>
      <w:pPr>
        <w:pStyle w:val="ListBullet"/>
        <w:spacing w:after="60"/>
        <w:ind w:left="432" w:hanging="216"/>
      </w:pPr>
      <w:r>
        <w:rPr>
          <w:rFonts w:ascii="Arial" w:hAnsi="Arial" w:eastAsia="Microsoft YaHei"/>
          <w:b w:val="0"/>
          <w:color w:val="000000"/>
          <w:sz w:val="20"/>
        </w:rPr>
        <w:t>生产级上线的主要成本在规则梳理、系统集成、异常处理、安全审计和稳定运行，而非模型调用。</w:t>
      </w:r>
    </w:p>
    <w:p>
      <w:pPr>
        <w:pStyle w:val="ListBullet"/>
        <w:spacing w:after="60"/>
        <w:ind w:left="432" w:hanging="216"/>
      </w:pPr>
      <w:r>
        <w:rPr>
          <w:rFonts w:ascii="Arial" w:hAnsi="Arial" w:eastAsia="Microsoft YaHei"/>
          <w:b w:val="0"/>
          <w:color w:val="000000"/>
          <w:sz w:val="20"/>
        </w:rPr>
        <w:t>每一阶段设置决策门，上一阶段不达标时可调整范围或停止投入。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二、项目困难点与商业价值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核心判断：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项目真正困难的地方，不是调用大模型，而是让AI理解三丰的业务规则、使用可信数据、稳定连接OA/PLM/ERP，并在出错时能够发现、回退和追责。客户购买的不是几个AI功能，而是能够进入真实业务流程并创造经营收益的生产级解决方案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2.1 六类共性困难与我们的价值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44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困难类型</w:t>
            </w:r>
          </w:p>
        </w:tc>
        <w:tc>
          <w:tcPr>
            <w:tcW w:type="dxa" w:w="396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三丰面临的问题</w:t>
            </w:r>
          </w:p>
        </w:tc>
        <w:tc>
          <w:tcPr>
            <w:tcW w:type="dxa" w:w="410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我们的交付价值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业务规则</w:t>
            </w:r>
          </w:p>
        </w:tc>
        <w:tc>
          <w:tcPr>
            <w:tcW w:type="dxa" w:w="3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非标业务例外多，很多规则依赖个人经验，不同人员处理方式不一致</w:t>
            </w:r>
          </w:p>
        </w:tc>
        <w:tc>
          <w:tcPr>
            <w:tcW w:type="dxa" w:w="41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将个人经验转化为标准规则；明确异常流程、责任边界和人工确认点</w:t>
            </w:r>
          </w:p>
        </w:tc>
      </w:tr>
      <w:tr>
        <w:tc>
          <w:tcPr>
            <w:tcW w:type="dxa" w:w="144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数据质量</w:t>
            </w:r>
          </w:p>
        </w:tc>
        <w:tc>
          <w:tcPr>
            <w:tcW w:type="dxa" w:w="396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BOM版本、物料编码、工时、库存和历史价格可能缺失或不一致</w:t>
            </w:r>
          </w:p>
        </w:tc>
        <w:tc>
          <w:tcPr>
            <w:tcW w:type="dxa" w:w="410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建立数据质量基线、异常检查和责任机制，为后续项目形成可信底座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系统集成</w:t>
            </w:r>
          </w:p>
        </w:tc>
        <w:tc>
          <w:tcPr>
            <w:tcW w:type="dxa" w:w="3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OA、PLM、ERP接口能力不同；直接改数据库风险高；RPA稳定性有限</w:t>
            </w:r>
          </w:p>
        </w:tc>
        <w:tc>
          <w:tcPr>
            <w:tcW w:type="dxa" w:w="41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建设接口、中间层、重试、幂等和监控，让AI真正进入业务流程</w:t>
            </w:r>
          </w:p>
        </w:tc>
      </w:tr>
      <w:tr>
        <w:tc>
          <w:tcPr>
            <w:tcW w:type="dxa" w:w="144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算法边界</w:t>
            </w:r>
          </w:p>
        </w:tc>
        <w:tc>
          <w:tcPr>
            <w:tcW w:type="dxa" w:w="396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规则计算、优化算法和大模型容易被混用，大模型无法保证精确计算</w:t>
            </w:r>
          </w:p>
        </w:tc>
        <w:tc>
          <w:tcPr>
            <w:tcW w:type="dxa" w:w="410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确定性任务使用规则/优化算法，大模型负责文档、检索和交互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安全责任</w:t>
            </w:r>
          </w:p>
        </w:tc>
        <w:tc>
          <w:tcPr>
            <w:tcW w:type="dxa" w:w="3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错误单据、错误排程或加工程序可能造成真实经营和设备损失</w:t>
            </w:r>
          </w:p>
        </w:tc>
        <w:tc>
          <w:tcPr>
            <w:tcW w:type="dxa" w:w="41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通过影子运行、人工确认、审计、回滚和安全门禁控制风险</w:t>
            </w:r>
          </w:p>
        </w:tc>
      </w:tr>
      <w:tr>
        <w:tc>
          <w:tcPr>
            <w:tcW w:type="dxa" w:w="144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业务采用</w:t>
            </w:r>
          </w:p>
        </w:tc>
        <w:tc>
          <w:tcPr>
            <w:tcW w:type="dxa" w:w="396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系统上线后业务人员可能继续使用原流程，导致功能存在但收益不兑现</w:t>
            </w:r>
          </w:p>
        </w:tc>
        <w:tc>
          <w:tcPr>
            <w:tcW w:type="dxa" w:w="410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业务共同设计；按使用率和经营结果验收；持续分析人工修改原因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2.2 七个目标的困难、价值与决策重点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65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52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核心困难</w:t>
            </w:r>
          </w:p>
        </w:tc>
        <w:tc>
          <w:tcPr>
            <w:tcW w:type="dxa" w:w="316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主要商业价值</w:t>
            </w:r>
          </w:p>
        </w:tc>
        <w:tc>
          <w:tcPr>
            <w:tcW w:type="dxa" w:w="216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董事长决策重点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 采购单据自动化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发票格式多；订单、收货和发票不完全一致；税务付款风险高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减少录单核对；降低错付、重复付款和价格异常；加快付款流转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先覆盖标准场景，异常必须人工确认</w:t>
            </w:r>
          </w:p>
        </w:tc>
      </w:tr>
      <w:tr>
        <w:tc>
          <w:tcPr>
            <w:tcW w:type="dxa" w:w="165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 工艺查重与工时推荐</w:t>
            </w:r>
          </w:p>
        </w:tc>
        <w:tc>
          <w:tcPr>
            <w:tcW w:type="dxa" w:w="252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历史工时未必准确；相似零件未必工艺相同；经验难结构化</w:t>
            </w:r>
          </w:p>
        </w:tc>
        <w:tc>
          <w:tcPr>
            <w:tcW w:type="dxa" w:w="316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减少重复编制；提高成本核算和报价准确性；降低对少数专家依赖</w:t>
            </w:r>
          </w:p>
        </w:tc>
        <w:tc>
          <w:tcPr>
            <w:tcW w:type="dxa" w:w="216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先做推荐，不直接覆盖工艺与工时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 生产智能排程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约束多且变化快；基础工时、齐套和设备状态可能不准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减少停工待料；提高交期达成率、设备利用率和交期可信度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潜在收益最大，但必须最后攻坚</w:t>
            </w:r>
          </w:p>
        </w:tc>
      </w:tr>
      <w:tr>
        <w:tc>
          <w:tcPr>
            <w:tcW w:type="dxa" w:w="165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4 计划单据自动转化</w:t>
            </w:r>
          </w:p>
        </w:tc>
        <w:tc>
          <w:tcPr>
            <w:tcW w:type="dxa" w:w="252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跨系统规则复杂；批量错误会影响采购和生产；接口要求高</w:t>
            </w:r>
          </w:p>
        </w:tc>
        <w:tc>
          <w:tcPr>
            <w:tcW w:type="dxa" w:w="316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减少错漏单；提前启动采购生产；缩短项目周期；打通数据底座</w:t>
            </w:r>
          </w:p>
        </w:tc>
        <w:tc>
          <w:tcPr>
            <w:tcW w:type="dxa" w:w="216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剩余项目首要核心项目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 智能审批助手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合同复杂；风险规则需确认；错误摘要可能误导审批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缩短管理层审批时间；发现超预算、异常价格和合规风险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管理层快速感知价值，但不替代审批责任</w:t>
            </w:r>
          </w:p>
        </w:tc>
      </w:tr>
      <w:tr>
        <w:tc>
          <w:tcPr>
            <w:tcW w:type="dxa" w:w="165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6 BOM物料查重（已做）</w:t>
            </w:r>
          </w:p>
        </w:tc>
        <w:tc>
          <w:tcPr>
            <w:tcW w:type="dxa" w:w="252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需要证明推荐真正被采用；关键尺寸材质不能只靠文本相似</w:t>
            </w:r>
          </w:p>
        </w:tc>
        <w:tc>
          <w:tcPr>
            <w:tcW w:type="dxa" w:w="316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减少重复物料与设计；复用库存；降低采购和呆滞料成本</w:t>
            </w:r>
          </w:p>
        </w:tc>
        <w:tc>
          <w:tcPr>
            <w:tcW w:type="dxa" w:w="216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先量化实际收益，再持续优化和复用资产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7 CNC智能编程（已做）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机型和复杂零件覆盖难；程序错误存在设备和人身安全风险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缩短编程与准备时间；减少机床等待；释放设备产能，提高OEE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重点审计采用率、安全通过率和实际产能收益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2.3 收益如何量化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收益类型</w:t>
            </w:r>
          </w:p>
        </w:tc>
        <w:tc>
          <w:tcPr>
            <w:tcW w:type="dxa" w:w="525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216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主要适用目标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直接效率收益</w:t>
            </w:r>
          </w:p>
        </w:tc>
        <w:tc>
          <w:tcPr>
            <w:tcW w:type="dxa" w:w="52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年处理量 × 单次节省时间 ÷ 60 × 岗位综合小时成本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1、2、4、5、6、7</w:t>
            </w:r>
          </w:p>
        </w:tc>
      </w:tr>
      <w:tr>
        <w:tc>
          <w:tcPr>
            <w:tcW w:type="dxa" w:w="208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错误与风险避免</w:t>
            </w:r>
          </w:p>
        </w:tc>
        <w:tc>
          <w:tcPr>
            <w:tcW w:type="dxa" w:w="525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历史年均错误次数 × 单次平均损失 × 预计降低比例</w:t>
            </w:r>
          </w:p>
        </w:tc>
        <w:tc>
          <w:tcPr>
            <w:tcW w:type="dxa" w:w="216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1、4、5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库存与采购降本</w:t>
            </w:r>
          </w:p>
        </w:tc>
        <w:tc>
          <w:tcPr>
            <w:tcW w:type="dxa" w:w="52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复用库存金额 + 重复物料减少采购额 + 价格异常避免额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1、6</w:t>
            </w:r>
          </w:p>
        </w:tc>
      </w:tr>
      <w:tr>
        <w:tc>
          <w:tcPr>
            <w:tcW w:type="dxa" w:w="208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交付与现金流改善</w:t>
            </w:r>
          </w:p>
        </w:tc>
        <w:tc>
          <w:tcPr>
            <w:tcW w:type="dxa" w:w="525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延期和加急成本下降 + 回款提前收益</w:t>
            </w:r>
          </w:p>
        </w:tc>
        <w:tc>
          <w:tcPr>
            <w:tcW w:type="dxa" w:w="216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3、4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产能释放</w:t>
            </w:r>
          </w:p>
        </w:tc>
        <w:tc>
          <w:tcPr>
            <w:tcW w:type="dxa" w:w="52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减少等待/编程小时 × 设备小时贡献价值，或新增产量 × 单位贡献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3、7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价值承诺原则：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不在缺少真实数据时承诺虚高收益。第一阶段建立经业务和财务认可的收益基线；后续使用影子运行和真实上线数据计算可审计ROI。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三、项目优先级与实施顺序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93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59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66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388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安排原因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目标六、目标七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已有成果价值兑现与能力复用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最容易形成客户内部案例；先量化收益、安全和可复用资产</w:t>
            </w:r>
          </w:p>
        </w:tc>
      </w:tr>
      <w:tr>
        <w:tc>
          <w:tcPr>
            <w:tcW w:type="dxa" w:w="93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59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目标四：计划单据自动转化</w:t>
            </w:r>
          </w:p>
        </w:tc>
        <w:tc>
          <w:tcPr>
            <w:tcW w:type="dxa" w:w="266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首个生产级核心项目</w:t>
            </w:r>
          </w:p>
        </w:tc>
        <w:tc>
          <w:tcPr>
            <w:tcW w:type="dxa" w:w="388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痛点明确、价值易量化，并为采购和排程打通系统与数据底座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目标五：智能审批助手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管理层快速成果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周期较短，管理层直接感知价值，并强化风险控制</w:t>
            </w:r>
          </w:p>
        </w:tc>
      </w:tr>
      <w:tr>
        <w:tc>
          <w:tcPr>
            <w:tcW w:type="dxa" w:w="93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259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目标一：采购单据自动化</w:t>
            </w:r>
          </w:p>
        </w:tc>
        <w:tc>
          <w:tcPr>
            <w:tcW w:type="dxa" w:w="266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成熟场景复制</w:t>
            </w:r>
          </w:p>
        </w:tc>
        <w:tc>
          <w:tcPr>
            <w:tcW w:type="dxa" w:w="388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可复用目标四的ERP集成、异常处理和审计能力</w:t>
            </w:r>
          </w:p>
        </w:tc>
      </w:tr>
      <w:tr>
        <w:tc>
          <w:tcPr>
            <w:tcW w:type="dxa" w:w="9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目标二：工艺查重与工时推荐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专业能力提升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可复用目标六能力，但需先治理历史工时与工艺数据</w:t>
            </w:r>
          </w:p>
        </w:tc>
      </w:tr>
      <w:tr>
        <w:tc>
          <w:tcPr>
            <w:tcW w:type="dxa" w:w="93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P3</w:t>
            </w:r>
          </w:p>
        </w:tc>
        <w:tc>
          <w:tcPr>
            <w:tcW w:type="dxa" w:w="259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目标三：生产智能排程</w:t>
            </w:r>
          </w:p>
        </w:tc>
        <w:tc>
          <w:tcPr>
            <w:tcW w:type="dxa" w:w="266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战略攻坚项目</w:t>
            </w:r>
          </w:p>
        </w:tc>
        <w:tc>
          <w:tcPr>
            <w:tcW w:type="dxa" w:w="388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潜在收益最大，但最依赖准确数据与专业约束优化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优先级原则：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先证明已有成果，优先打通核心流程，再复制成熟场景，最后攻坚生产排程。这样每一阶段都有可见收益，同时降低一次性投入和实施失败风险。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四、第一阶段：现状诊断与总体设计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阶段目标：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用3周时间回答四个问题：现有项目产生了多少价值、剩余项目是否具备条件、生产级实施需要做什么、投资能否形成可审计回报。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94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安排</w:t>
            </w:r>
          </w:p>
        </w:tc>
      </w:tr>
      <w:t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周期</w:t>
            </w:r>
          </w:p>
        </w:tc>
        <w:tc>
          <w:tcPr>
            <w:tcW w:type="dxa" w:w="7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3周</w:t>
            </w:r>
          </w:p>
        </w:tc>
      </w:tr>
      <w:tr>
        <w:tc>
          <w:tcPr>
            <w:tcW w:type="dxa" w:w="194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服务费</w:t>
            </w:r>
          </w:p>
        </w:tc>
        <w:tc>
          <w:tcPr>
            <w:tcW w:type="dxa" w:w="756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28万元</w:t>
            </w:r>
          </w:p>
        </w:tc>
      </w:tr>
      <w:t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工作重点</w:t>
            </w:r>
          </w:p>
        </w:tc>
        <w:tc>
          <w:tcPr>
            <w:tcW w:type="dxa" w:w="7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目标六七成果审计；目标四五业务与系统诊断；数据与接口评估；ROI基线；正式实施方案</w:t>
            </w:r>
          </w:p>
        </w:tc>
      </w:tr>
      <w:tr>
        <w:tc>
          <w:tcPr>
            <w:tcW w:type="dxa" w:w="194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阶段结论</w:t>
            </w:r>
          </w:p>
        </w:tc>
        <w:tc>
          <w:tcPr>
            <w:tcW w:type="dxa" w:w="756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形成第二阶段固定范围、最终报价、排期和Go/No-Go建议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4.1 三周详细排期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00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374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338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主要交付物</w:t>
            </w:r>
          </w:p>
        </w:tc>
        <w:tc>
          <w:tcPr>
            <w:tcW w:type="dxa" w:w="180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客户配合</w:t>
            </w:r>
          </w:p>
        </w:tc>
      </w:tr>
      <w:t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第1周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启动会；访谈业务与IT；盘点目标六七；收集流程、样本、接口与运行数据</w:t>
            </w:r>
          </w:p>
        </w:tc>
        <w:tc>
          <w:tcPr>
            <w:tcW w:type="dxa" w:w="33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项目章程、资料清单、现状问题清单、六七成果数据框架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指定负责人；提供系统资料、样本与使用日志</w:t>
            </w:r>
          </w:p>
        </w:tc>
      </w:tr>
      <w:tr>
        <w:tc>
          <w:tcPr>
            <w:tcW w:type="dxa" w:w="100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第2周</w:t>
            </w:r>
          </w:p>
        </w:tc>
        <w:tc>
          <w:tcPr>
            <w:tcW w:type="dxa" w:w="374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走查目标四五流程；评估OA/PLM/ERP接口；测量工时、错误率和审批周期；分析可复用资产</w:t>
            </w:r>
          </w:p>
        </w:tc>
        <w:tc>
          <w:tcPr>
            <w:tcW w:type="dxa" w:w="338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现状流程、字段映射、接口评估、数据质量与收益基线初稿</w:t>
            </w:r>
          </w:p>
        </w:tc>
        <w:tc>
          <w:tcPr>
            <w:tcW w:type="dxa" w:w="180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业务骨干确认规则；IT与系统厂商参与评估</w:t>
            </w:r>
          </w:p>
        </w:tc>
      </w:tr>
      <w:tr>
        <w:tc>
          <w:tcPr>
            <w:tcW w:type="dxa" w:w="10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第3周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设计目标流程、架构、安全与验收方案；测算正式预算和ROI；管理层评审</w:t>
            </w:r>
          </w:p>
        </w:tc>
        <w:tc>
          <w:tcPr>
            <w:tcW w:type="dxa" w:w="33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成果审计报告、总体方案、详细实施计划、正式报价、ROI模型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业务、IT、财务共同确认并作实施决策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4.2 第一阶段交付物与验收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46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504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《目标六、目标七成果与收益审计报告》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明确采用率、节省工时、业务收益、安全与稳定性，以及可复用技术资产</w:t>
            </w:r>
          </w:p>
        </w:tc>
      </w:tr>
      <w:tr>
        <w:tc>
          <w:tcPr>
            <w:tcW w:type="dxa" w:w="446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《目标四、目标五业务需求与目标流程》</w:t>
            </w:r>
          </w:p>
        </w:tc>
        <w:tc>
          <w:tcPr>
            <w:tcW w:type="dxa" w:w="504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业务部门确认正常流程、异常流程、人工确认点和责任边界</w:t>
            </w:r>
          </w:p>
        </w:tc>
      </w:tr>
      <w:tr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《系统接口与数据质量评估报告》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明确接口可行性、第三方依赖、数据问题及整改要求</w:t>
            </w:r>
          </w:p>
        </w:tc>
      </w:tr>
      <w:tr>
        <w:tc>
          <w:tcPr>
            <w:tcW w:type="dxa" w:w="446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《总体技术方案与验收体系》</w:t>
            </w:r>
          </w:p>
        </w:tc>
        <w:tc>
          <w:tcPr>
            <w:tcW w:type="dxa" w:w="504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明确架构、安全、日志、回滚、指标和测试方案</w:t>
            </w:r>
          </w:p>
        </w:tc>
      </w:tr>
      <w:tr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《正式实施计划、报价与ROI模型》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形成第二阶段固定范围和经业务、财务认可的收益口径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4.3 第一阶段付款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460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付款节点</w:t>
            </w:r>
          </w:p>
        </w:tc>
        <w:tc>
          <w:tcPr>
            <w:tcW w:type="dxa" w:w="172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比例</w:t>
            </w:r>
          </w:p>
        </w:tc>
        <w:tc>
          <w:tcPr>
            <w:tcW w:type="dxa" w:w="316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金额</w:t>
            </w:r>
          </w:p>
        </w:tc>
      </w:tr>
      <w:tr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合同签订并启动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60%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16.8万元</w:t>
            </w:r>
          </w:p>
        </w:tc>
      </w:tr>
      <w:tr>
        <w:tc>
          <w:tcPr>
            <w:tcW w:type="dxa" w:w="460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提交全部报告并通过阶段评审</w:t>
            </w:r>
          </w:p>
        </w:tc>
        <w:tc>
          <w:tcPr>
            <w:tcW w:type="dxa" w:w="172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40%</w:t>
            </w:r>
          </w:p>
        </w:tc>
        <w:tc>
          <w:tcPr>
            <w:tcW w:type="dxa" w:w="316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11.2万元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独立价值：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即使客户不进入第二阶段，第一阶段仍交付完整的成果审计、总体方案、投资决策和ROI依据，因此诊断费用应独立收取。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五、第二阶段：双场景生产级试点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94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安排</w:t>
            </w:r>
          </w:p>
        </w:tc>
      </w:tr>
      <w:t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周期</w:t>
            </w:r>
          </w:p>
        </w:tc>
        <w:tc>
          <w:tcPr>
            <w:tcW w:type="dxa" w:w="7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16周</w:t>
            </w:r>
          </w:p>
        </w:tc>
      </w:tr>
      <w:tr>
        <w:tc>
          <w:tcPr>
            <w:tcW w:type="dxa" w:w="194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服务费</w:t>
            </w:r>
          </w:p>
        </w:tc>
        <w:tc>
          <w:tcPr>
            <w:tcW w:type="dxa" w:w="756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130万元</w:t>
            </w:r>
          </w:p>
        </w:tc>
      </w:tr>
      <w:t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场景范围</w:t>
            </w:r>
          </w:p>
        </w:tc>
        <w:tc>
          <w:tcPr>
            <w:tcW w:type="dxa" w:w="7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目标四：计划单据自动转化；目标五：智能审批助手</w:t>
            </w:r>
          </w:p>
        </w:tc>
      </w:tr>
      <w:tr>
        <w:tc>
          <w:tcPr>
            <w:tcW w:type="dxa" w:w="194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交付目标</w:t>
            </w:r>
          </w:p>
        </w:tc>
        <w:tc>
          <w:tcPr>
            <w:tcW w:type="dxa" w:w="756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完成生产级集成、UAT、影子运行、小范围上线、培训移交和90天缺陷质保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5.1 十六周详细排期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22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374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重点工作</w:t>
            </w:r>
          </w:p>
        </w:tc>
        <w:tc>
          <w:tcPr>
            <w:tcW w:type="dxa" w:w="309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阶段交付物</w:t>
            </w:r>
          </w:p>
        </w:tc>
        <w:tc>
          <w:tcPr>
            <w:tcW w:type="dxa" w:w="223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阶段验收门槛</w:t>
            </w:r>
          </w:p>
        </w:tc>
      </w:tr>
      <w:tr>
        <w:tc>
          <w:tcPr>
            <w:tcW w:type="dxa" w:w="12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第1-2周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详细设计、字段映射、规则确认、接口与环境准备、安全权限设计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详细设计、接口清单、权限矩阵、测试与验收方案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业务与IT评审通过</w:t>
            </w:r>
          </w:p>
        </w:tc>
      </w:tr>
      <w:tr>
        <w:tc>
          <w:tcPr>
            <w:tcW w:type="dxa" w:w="122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第3-7周</w:t>
            </w:r>
          </w:p>
        </w:tc>
        <w:tc>
          <w:tcPr>
            <w:tcW w:type="dxa" w:w="374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目标四开发：OA/PLM读取、校验、净需求与拆单、ERP草稿、异常队列、审计日志</w:t>
            </w:r>
          </w:p>
        </w:tc>
        <w:tc>
          <w:tcPr>
            <w:tcW w:type="dxa" w:w="309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目标四Beta及单元测试报告</w:t>
            </w:r>
          </w:p>
        </w:tc>
        <w:tc>
          <w:tcPr>
            <w:tcW w:type="dxa" w:w="22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典型样本成功率≥95%；异常不进入正式业务</w:t>
            </w:r>
          </w:p>
        </w:tc>
      </w:tr>
      <w:tr>
        <w:tc>
          <w:tcPr>
            <w:tcW w:type="dxa" w:w="12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第5-9周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目标五并行开发：附件解析、摘要、预算/历史价格比对、风险提示与来源追溯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目标五Beta及评测报告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摘要可用率≥90%；风险提示可追溯</w:t>
            </w:r>
          </w:p>
        </w:tc>
      </w:tr>
      <w:tr>
        <w:tc>
          <w:tcPr>
            <w:tcW w:type="dxa" w:w="122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第10-12周</w:t>
            </w:r>
          </w:p>
        </w:tc>
        <w:tc>
          <w:tcPr>
            <w:tcW w:type="dxa" w:w="374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集成测试、真实历史数据回放、UAT、培训和严重缺陷修复</w:t>
            </w:r>
          </w:p>
        </w:tc>
        <w:tc>
          <w:tcPr>
            <w:tcW w:type="dxa" w:w="309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集成测试报告、UAT报告、培训材料</w:t>
            </w:r>
          </w:p>
        </w:tc>
        <w:tc>
          <w:tcPr>
            <w:tcW w:type="dxa" w:w="22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关键字段准确率≥99%；严重缺陷清零</w:t>
            </w:r>
          </w:p>
        </w:tc>
      </w:tr>
      <w:tr>
        <w:tc>
          <w:tcPr>
            <w:tcW w:type="dxa" w:w="12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第13-14周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影子运行：处理真实业务但不直接提交；每日差异复盘与规则调整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影子运行日报、差异与整改清单</w:t>
            </w:r>
          </w:p>
        </w:tc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连续10个工作日稳定；关键金额数量错误为零</w:t>
            </w:r>
          </w:p>
        </w:tc>
      </w:tr>
      <w:tr>
        <w:tc>
          <w:tcPr>
            <w:tcW w:type="dxa" w:w="122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第15-16周</w:t>
            </w:r>
          </w:p>
        </w:tc>
        <w:tc>
          <w:tcPr>
            <w:tcW w:type="dxa" w:w="374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小范围正式上线、运维移交、效果评估和下一阶段建议</w:t>
            </w:r>
          </w:p>
        </w:tc>
        <w:tc>
          <w:tcPr>
            <w:tcW w:type="dxa" w:w="309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上线报告、SOP、运维手册、收益报告</w:t>
            </w:r>
          </w:p>
        </w:tc>
        <w:tc>
          <w:tcPr>
            <w:tcW w:type="dxa" w:w="22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业务负责人签署验收；核心用户使用率≥80%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5.2 第二阶段费用构成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446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158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报价</w:t>
            </w:r>
          </w:p>
        </w:tc>
        <w:tc>
          <w:tcPr>
            <w:tcW w:type="dxa" w:w="360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项目管理、详细设计与业务规则梳理</w:t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18万元</w:t>
            </w:r>
          </w:p>
        </w:tc>
        <w:tc>
          <w:tcPr>
            <w:tcW w:type="dxa" w:w="3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跨部门协调、规则固化、计划与风险管理</w:t>
            </w:r>
          </w:p>
        </w:tc>
      </w:tr>
      <w:tr>
        <w:tc>
          <w:tcPr>
            <w:tcW w:type="dxa" w:w="446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目标四：计划单据自动转化</w:t>
            </w:r>
          </w:p>
        </w:tc>
        <w:tc>
          <w:tcPr>
            <w:tcW w:type="dxa" w:w="158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50万元</w:t>
            </w:r>
          </w:p>
        </w:tc>
        <w:tc>
          <w:tcPr>
            <w:tcW w:type="dxa" w:w="360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数据采集、规则、ERP草稿、异常处理与审计</w:t>
            </w:r>
          </w:p>
        </w:tc>
      </w:tr>
      <w:tr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目标五：智能审批助手</w:t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30万元</w:t>
            </w:r>
          </w:p>
        </w:tc>
        <w:tc>
          <w:tcPr>
            <w:tcW w:type="dxa" w:w="3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附件解析、摘要、预算/价格比对和风险提示</w:t>
            </w:r>
          </w:p>
        </w:tc>
      </w:tr>
      <w:tr>
        <w:tc>
          <w:tcPr>
            <w:tcW w:type="dxa" w:w="446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系统集成、权限、日志与异常处理</w:t>
            </w:r>
          </w:p>
        </w:tc>
        <w:tc>
          <w:tcPr>
            <w:tcW w:type="dxa" w:w="158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16万元</w:t>
            </w:r>
          </w:p>
        </w:tc>
        <w:tc>
          <w:tcPr>
            <w:tcW w:type="dxa" w:w="360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生产级稳定性、安全、重试、幂等和回滚</w:t>
            </w:r>
          </w:p>
        </w:tc>
      </w:tr>
      <w:tr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测试、影子运行、培训与上线</w:t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10万元</w:t>
            </w:r>
          </w:p>
        </w:tc>
        <w:tc>
          <w:tcPr>
            <w:tcW w:type="dxa" w:w="3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UAT、真实业务验证、用户培训和运维移交</w:t>
            </w:r>
          </w:p>
        </w:tc>
      </w:tr>
      <w:tr>
        <w:tc>
          <w:tcPr>
            <w:tcW w:type="dxa" w:w="446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验收后90天缺陷质保</w:t>
            </w:r>
          </w:p>
        </w:tc>
        <w:tc>
          <w:tcPr>
            <w:tcW w:type="dxa" w:w="158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6万元</w:t>
            </w:r>
          </w:p>
        </w:tc>
        <w:tc>
          <w:tcPr>
            <w:tcW w:type="dxa" w:w="360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范围内缺陷修复和上线支持</w:t>
            </w:r>
          </w:p>
        </w:tc>
      </w:tr>
      <w:tr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合计</w:t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130万元</w:t>
            </w:r>
          </w:p>
        </w:tc>
        <w:tc>
          <w:tcPr>
            <w:tcW w:type="dxa" w:w="3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第三方接口、硬件、云资源和新增范围另计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5.3 第二阶段付款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460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付款节点</w:t>
            </w:r>
          </w:p>
        </w:tc>
        <w:tc>
          <w:tcPr>
            <w:tcW w:type="dxa" w:w="172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比例</w:t>
            </w:r>
          </w:p>
        </w:tc>
        <w:tc>
          <w:tcPr>
            <w:tcW w:type="dxa" w:w="316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金额</w:t>
            </w:r>
          </w:p>
        </w:tc>
      </w:tr>
      <w:tr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第二阶段合同签订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30%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39万元</w:t>
            </w:r>
          </w:p>
        </w:tc>
      </w:tr>
      <w:tr>
        <w:tc>
          <w:tcPr>
            <w:tcW w:type="dxa" w:w="460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详细设计评审通过</w:t>
            </w:r>
          </w:p>
        </w:tc>
        <w:tc>
          <w:tcPr>
            <w:tcW w:type="dxa" w:w="172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20%</w:t>
            </w:r>
          </w:p>
        </w:tc>
        <w:tc>
          <w:tcPr>
            <w:tcW w:type="dxa" w:w="316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26万元</w:t>
            </w:r>
          </w:p>
        </w:tc>
      </w:tr>
      <w:tr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核心功能开发完成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20%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26万元</w:t>
            </w:r>
          </w:p>
        </w:tc>
      </w:tr>
      <w:tr>
        <w:tc>
          <w:tcPr>
            <w:tcW w:type="dxa" w:w="460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UAT通过并进入影子运行</w:t>
            </w:r>
          </w:p>
        </w:tc>
        <w:tc>
          <w:tcPr>
            <w:tcW w:type="dxa" w:w="172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20%</w:t>
            </w:r>
          </w:p>
        </w:tc>
        <w:tc>
          <w:tcPr>
            <w:tcW w:type="dxa" w:w="316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26万元</w:t>
            </w:r>
          </w:p>
        </w:tc>
      </w:tr>
      <w:tr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最终验收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10%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13万元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5.4 生产级验收指标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34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验收指标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目标四准确性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计划单据关键字段准确率≥99%；金额、数量等关键业务错误零容忍</w:t>
            </w:r>
          </w:p>
        </w:tc>
      </w:tr>
      <w:tr>
        <w:tc>
          <w:tcPr>
            <w:tcW w:type="dxa" w:w="216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目标四效率</w:t>
            </w:r>
          </w:p>
        </w:tc>
        <w:tc>
          <w:tcPr>
            <w:tcW w:type="dxa" w:w="734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典型单据端到端处理时长降低≥80%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目标五效果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审批摘要可用率≥90%；风险提示均可追溯至原始数据</w:t>
            </w:r>
          </w:p>
        </w:tc>
      </w:tr>
      <w:tr>
        <w:tc>
          <w:tcPr>
            <w:tcW w:type="dxa" w:w="216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稳定与安全</w:t>
            </w:r>
          </w:p>
        </w:tc>
        <w:tc>
          <w:tcPr>
            <w:tcW w:type="dxa" w:w="734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连续稳定运行≥10个工作日；支持重试、异常转人工、审计和回滚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业务采用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核心用户实际使用率≥80%；业务负责人签署UAT和最终验收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六、第三阶段：成熟场景复制与现有项目优化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签约原则：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第三阶段不整体打包。根据第二阶段真实收益和目标六七审计结果，由客户逐模块选择、逐模块签约、逐模块验收。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4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可选模块</w:t>
            </w:r>
          </w:p>
        </w:tc>
        <w:tc>
          <w:tcPr>
            <w:tcW w:type="dxa" w:w="151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建议周期</w:t>
            </w:r>
          </w:p>
        </w:tc>
        <w:tc>
          <w:tcPr>
            <w:tcW w:type="dxa" w:w="151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参考报价</w:t>
            </w:r>
          </w:p>
        </w:tc>
        <w:tc>
          <w:tcPr>
            <w:tcW w:type="dxa" w:w="403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价值与前置条件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目标一：采购单据自动化</w:t>
            </w:r>
          </w:p>
        </w:tc>
        <w:tc>
          <w:tcPr>
            <w:tcW w:type="dxa" w:w="15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10-14周</w:t>
            </w:r>
          </w:p>
        </w:tc>
        <w:tc>
          <w:tcPr>
            <w:tcW w:type="dxa" w:w="15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35-55万元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复用ERP集成能力；减少核对与付款风险；需财务采购规则确认</w:t>
            </w:r>
          </w:p>
        </w:tc>
      </w:tr>
      <w:tr>
        <w:tc>
          <w:tcPr>
            <w:tcW w:type="dxa" w:w="244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目标二：工艺查重与工时推荐</w:t>
            </w:r>
          </w:p>
        </w:tc>
        <w:tc>
          <w:tcPr>
            <w:tcW w:type="dxa" w:w="151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16-24周</w:t>
            </w:r>
          </w:p>
        </w:tc>
        <w:tc>
          <w:tcPr>
            <w:tcW w:type="dxa" w:w="151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55-85万元</w:t>
            </w:r>
          </w:p>
        </w:tc>
        <w:tc>
          <w:tcPr>
            <w:tcW w:type="dxa" w:w="40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复用目标六能力；改善工艺复用与成本核算；需治理历史工时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目标四五扩大部门覆盖</w:t>
            </w:r>
          </w:p>
        </w:tc>
        <w:tc>
          <w:tcPr>
            <w:tcW w:type="dxa" w:w="15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8-12周</w:t>
            </w:r>
          </w:p>
        </w:tc>
        <w:tc>
          <w:tcPr>
            <w:tcW w:type="dxa" w:w="15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25-45万元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复制首期成果；报价取决于新增组织、规则和接口差异</w:t>
            </w:r>
          </w:p>
        </w:tc>
      </w:tr>
      <w:tr>
        <w:tc>
          <w:tcPr>
            <w:tcW w:type="dxa" w:w="244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目标六：BOM查重专项优化</w:t>
            </w:r>
          </w:p>
        </w:tc>
        <w:tc>
          <w:tcPr>
            <w:tcW w:type="dxa" w:w="151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8-14周</w:t>
            </w:r>
          </w:p>
        </w:tc>
        <w:tc>
          <w:tcPr>
            <w:tcW w:type="dxa" w:w="151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20-40万元</w:t>
            </w:r>
          </w:p>
        </w:tc>
        <w:tc>
          <w:tcPr>
            <w:tcW w:type="dxa" w:w="40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依据成果审计解决采用率、误判和库存价值兑现问题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目标七：CNC专项优化</w:t>
            </w:r>
          </w:p>
        </w:tc>
        <w:tc>
          <w:tcPr>
            <w:tcW w:type="dxa" w:w="15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12-24周</w:t>
            </w:r>
          </w:p>
        </w:tc>
        <w:tc>
          <w:tcPr>
            <w:tcW w:type="dxa" w:w="15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40-90万元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提升零件/机型覆盖和安全通过率；软件许可与硬件另计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Arial" w:hAnsi="Arial" w:eastAsia="Microsoft YaHei"/>
          <w:b/>
          <w:color w:val="17365D"/>
          <w:sz w:val="21"/>
        </w:rPr>
        <w:t>建议第三阶段预算：100-210万元，具体取决于客户选择的模块数量和现有资产复用程度。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七、第四阶段：生产智能排程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实施原则：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生产排程潜在价值最大，但最依赖准确工时、物料齐套、设备状态和异常规则。必须先进行准备度评估，数据和约束不达标时不直接实施。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子阶段</w:t>
            </w:r>
          </w:p>
        </w:tc>
        <w:tc>
          <w:tcPr>
            <w:tcW w:type="dxa" w:w="158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172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服务费</w:t>
            </w:r>
          </w:p>
        </w:tc>
        <w:tc>
          <w:tcPr>
            <w:tcW w:type="dxa" w:w="432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交付与决策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生产排程准备度评估</w:t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4-6周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20-30万元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评估工时、齐套、设备日历、人员技能和排程约束；决定是否进入实施</w:t>
            </w:r>
          </w:p>
        </w:tc>
      </w:tr>
      <w:tr>
        <w:tc>
          <w:tcPr>
            <w:tcW w:type="dxa" w:w="259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生产排程实施</w:t>
            </w:r>
          </w:p>
        </w:tc>
        <w:tc>
          <w:tcPr>
            <w:tcW w:type="dxa" w:w="158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6-10个月</w:t>
            </w:r>
          </w:p>
        </w:tc>
        <w:tc>
          <w:tcPr>
            <w:tcW w:type="dxa" w:w="172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100-190万元</w:t>
            </w:r>
          </w:p>
        </w:tc>
        <w:tc>
          <w:tcPr>
            <w:tcW w:type="dxa" w:w="432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构建约束优化、场景模拟、排程交互与发布流程；商业APS许可另计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7.1 排程验收指标</w:t>
      </w:r>
    </w:p>
    <w:p>
      <w:pPr>
        <w:pStyle w:val="ListBullet"/>
        <w:spacing w:after="60"/>
        <w:ind w:left="432" w:hanging="216"/>
      </w:pPr>
      <w:r>
        <w:rPr>
          <w:rFonts w:ascii="Arial" w:hAnsi="Arial" w:eastAsia="Microsoft YaHei"/>
          <w:b w:val="0"/>
          <w:color w:val="000000"/>
          <w:sz w:val="20"/>
        </w:rPr>
        <w:t>排程编制和调整时间明显降低；排程方案实际采用率提升。</w:t>
      </w:r>
    </w:p>
    <w:p>
      <w:pPr>
        <w:pStyle w:val="ListBullet"/>
        <w:spacing w:after="60"/>
        <w:ind w:left="432" w:hanging="216"/>
      </w:pPr>
      <w:r>
        <w:rPr>
          <w:rFonts w:ascii="Arial" w:hAnsi="Arial" w:eastAsia="Microsoft YaHei"/>
          <w:b w:val="0"/>
          <w:color w:val="000000"/>
          <w:sz w:val="20"/>
        </w:rPr>
        <w:t>交期达成率提高，停工待料、加急和在制品周期降低。</w:t>
      </w:r>
    </w:p>
    <w:p>
      <w:pPr>
        <w:pStyle w:val="ListBullet"/>
        <w:spacing w:after="60"/>
        <w:ind w:left="432" w:hanging="216"/>
      </w:pPr>
      <w:r>
        <w:rPr>
          <w:rFonts w:ascii="Arial" w:hAnsi="Arial" w:eastAsia="Microsoft YaHei"/>
          <w:b w:val="0"/>
          <w:color w:val="000000"/>
          <w:sz w:val="20"/>
        </w:rPr>
        <w:t>设备利用率提升；所有约束、调整原因和发布操作可追溯。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八、客户整体资金计划</w:t>
      </w: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8.1 首期确定投入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676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73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金额</w:t>
            </w:r>
          </w:p>
        </w:tc>
      </w:tr>
      <w:tr>
        <w:tc>
          <w:tcPr>
            <w:tcW w:type="dxa" w:w="67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第一阶段：诊断与总体设计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28万元</w:t>
            </w:r>
          </w:p>
        </w:tc>
      </w:tr>
      <w:tr>
        <w:tc>
          <w:tcPr>
            <w:tcW w:type="dxa" w:w="6768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第二阶段：双场景生产级试点</w:t>
            </w:r>
          </w:p>
        </w:tc>
        <w:tc>
          <w:tcPr>
            <w:tcW w:type="dxa" w:w="273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130万元</w:t>
            </w:r>
          </w:p>
        </w:tc>
      </w:tr>
      <w:tr>
        <w:tc>
          <w:tcPr>
            <w:tcW w:type="dxa" w:w="67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首期实施服务费合计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158万元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8.2 首期其他成本与总预算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8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194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预计金额</w:t>
            </w:r>
          </w:p>
        </w:tc>
        <w:tc>
          <w:tcPr>
            <w:tcW w:type="dxa" w:w="417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OA、PLM、ERP厂商接口与配合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10-30万元</w:t>
            </w:r>
          </w:p>
        </w:tc>
        <w:tc>
          <w:tcPr>
            <w:tcW w:type="dxa" w:w="41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取决于系统厂商收费与接口改造工作量</w:t>
            </w:r>
          </w:p>
        </w:tc>
      </w:tr>
      <w:tr>
        <w:tc>
          <w:tcPr>
            <w:tcW w:type="dxa" w:w="338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服务器、云资源和模型调用</w:t>
            </w:r>
          </w:p>
        </w:tc>
        <w:tc>
          <w:tcPr>
            <w:tcW w:type="dxa" w:w="194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首年5-15万元</w:t>
            </w:r>
          </w:p>
        </w:tc>
        <w:tc>
          <w:tcPr>
            <w:tcW w:type="dxa" w:w="417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优先复用现有资源，按部署与调用量调整</w:t>
            </w:r>
          </w:p>
        </w:tc>
      </w:tr>
      <w:tr>
        <w:tc>
          <w:tcPr>
            <w:tcW w:type="dxa" w:w="33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年度运维支持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20-30万元/年</w:t>
            </w:r>
          </w:p>
        </w:tc>
        <w:tc>
          <w:tcPr>
            <w:tcW w:type="dxa" w:w="41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运行监控、故障支持、规则小调整和季度报告</w:t>
            </w:r>
          </w:p>
        </w:tc>
      </w:tr>
      <w:tr>
        <w:tc>
          <w:tcPr>
            <w:tcW w:type="dxa" w:w="338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预算预备金</w:t>
            </w:r>
          </w:p>
        </w:tc>
        <w:tc>
          <w:tcPr>
            <w:tcW w:type="dxa" w:w="194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项目金额的10%-15%</w:t>
            </w:r>
          </w:p>
        </w:tc>
        <w:tc>
          <w:tcPr>
            <w:tcW w:type="dxa" w:w="4176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应对已确认范围内的复杂度风险；范围变更另行报价</w:t>
            </w:r>
          </w:p>
        </w:tc>
      </w:tr>
      <w:tr>
        <w:tc>
          <w:tcPr>
            <w:tcW w:type="dxa" w:w="33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客户内部人员投入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约60-100人日</w:t>
            </w:r>
          </w:p>
        </w:tc>
        <w:tc>
          <w:tcPr>
            <w:tcW w:type="dxa" w:w="41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业务、IT、财务、采购和系统厂商参与，不计入服务费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首期预算建议：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首期实施服务合同为158万元。综合系统厂商接口、基础设施、年度运维和10%-15%预备金，建议三丰预留首期总预算约210-260万元。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8.3 全周期预算视图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60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投资范围</w:t>
            </w:r>
          </w:p>
        </w:tc>
        <w:tc>
          <w:tcPr>
            <w:tcW w:type="dxa" w:w="216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服务费参考</w:t>
            </w:r>
          </w:p>
        </w:tc>
        <w:tc>
          <w:tcPr>
            <w:tcW w:type="dxa" w:w="374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首期：第一、二阶段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158万元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建议先行批准，完成诊断与双场景生产级试点</w:t>
            </w:r>
          </w:p>
        </w:tc>
      </w:tr>
      <w:tr>
        <w:tc>
          <w:tcPr>
            <w:tcW w:type="dxa" w:w="360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第三阶段：成熟场景复制</w:t>
            </w:r>
          </w:p>
        </w:tc>
        <w:tc>
          <w:tcPr>
            <w:tcW w:type="dxa" w:w="216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100-210万元</w:t>
            </w:r>
          </w:p>
        </w:tc>
        <w:tc>
          <w:tcPr>
            <w:tcW w:type="dxa" w:w="374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按模块选择，不要求一次性采购</w:t>
            </w:r>
          </w:p>
        </w:tc>
      </w:tr>
      <w:tr>
        <w:tc>
          <w:tcPr>
            <w:tcW w:type="dxa" w:w="3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第四阶段：生产智能排程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120-220万元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准备度评估通过后实施；商业软件与硬件另计</w:t>
            </w:r>
          </w:p>
        </w:tc>
      </w:tr>
      <w:tr>
        <w:tc>
          <w:tcPr>
            <w:tcW w:type="dxa" w:w="360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全路线服务费参考</w:t>
            </w:r>
          </w:p>
        </w:tc>
        <w:tc>
          <w:tcPr>
            <w:tcW w:type="dxa" w:w="216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378-588万元</w:t>
            </w:r>
          </w:p>
        </w:tc>
        <w:tc>
          <w:tcPr>
            <w:tcW w:type="dxa" w:w="374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实际金额取决于模块选择、范围、复用程度和第三方条件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九、阶段决策门与风险控制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23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决策门</w:t>
            </w:r>
          </w:p>
        </w:tc>
        <w:tc>
          <w:tcPr>
            <w:tcW w:type="dxa" w:w="475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判断依据</w:t>
            </w:r>
          </w:p>
        </w:tc>
        <w:tc>
          <w:tcPr>
            <w:tcW w:type="dxa" w:w="252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资金动作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第一阶段结束</w:t>
            </w:r>
          </w:p>
        </w:tc>
        <w:tc>
          <w:tcPr>
            <w:tcW w:type="dxa" w:w="47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接口可行、数据可用、范围明确、收益模型成立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决定是否投入第二阶段130万元</w:t>
            </w:r>
          </w:p>
        </w:tc>
      </w:tr>
      <w:tr>
        <w:tc>
          <w:tcPr>
            <w:tcW w:type="dxa" w:w="22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第二阶段UAT结束</w:t>
            </w:r>
          </w:p>
        </w:tc>
        <w:tc>
          <w:tcPr>
            <w:tcW w:type="dxa" w:w="475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准确率、安全、稳定性和用户验收达到门槛</w:t>
            </w:r>
          </w:p>
        </w:tc>
        <w:tc>
          <w:tcPr>
            <w:tcW w:type="dxa" w:w="252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决定是否进入影子运行和正式上线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第二阶段验收结束</w:t>
            </w:r>
          </w:p>
        </w:tc>
        <w:tc>
          <w:tcPr>
            <w:tcW w:type="dxa" w:w="47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真实业务收益、用户采用率和稳定性达到目标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决定第三阶段选择哪些模块</w:t>
            </w:r>
          </w:p>
        </w:tc>
      </w:tr>
      <w:tr>
        <w:tc>
          <w:tcPr>
            <w:tcW w:type="dxa" w:w="223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排程准备度评估结束</w:t>
            </w:r>
          </w:p>
        </w:tc>
        <w:tc>
          <w:tcPr>
            <w:tcW w:type="dxa" w:w="4752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基础数据与约束可支撑优化排程</w:t>
            </w:r>
          </w:p>
        </w:tc>
        <w:tc>
          <w:tcPr>
            <w:tcW w:type="dxa" w:w="252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决定是否投入100-190万元排程实施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9.1 商务边界</w:t>
      </w:r>
    </w:p>
    <w:p>
      <w:pPr>
        <w:pStyle w:val="ListBullet"/>
        <w:spacing w:after="60"/>
        <w:ind w:left="432" w:hanging="216"/>
      </w:pPr>
      <w:r>
        <w:rPr>
          <w:rFonts w:ascii="Arial" w:hAnsi="Arial" w:eastAsia="Microsoft YaHei"/>
          <w:b w:val="0"/>
          <w:color w:val="000000"/>
          <w:sz w:val="20"/>
        </w:rPr>
        <w:t>第三方软件许可、系统厂商接口费、硬件、云资源和模型调用费用由客户承担。</w:t>
      </w:r>
    </w:p>
    <w:p>
      <w:pPr>
        <w:pStyle w:val="ListBullet"/>
        <w:spacing w:after="60"/>
        <w:ind w:left="432" w:hanging="216"/>
      </w:pPr>
      <w:r>
        <w:rPr>
          <w:rFonts w:ascii="Arial" w:hAnsi="Arial" w:eastAsia="Microsoft YaHei"/>
          <w:b w:val="0"/>
          <w:color w:val="000000"/>
          <w:sz w:val="20"/>
        </w:rPr>
        <w:t>大规模历史数据清洗、新增组织或流程、商业APS/CAM采购不包含在现阶段报价中。</w:t>
      </w:r>
    </w:p>
    <w:p>
      <w:pPr>
        <w:pStyle w:val="ListBullet"/>
        <w:spacing w:after="60"/>
        <w:ind w:left="432" w:hanging="216"/>
      </w:pPr>
      <w:r>
        <w:rPr>
          <w:rFonts w:ascii="Arial" w:hAnsi="Arial" w:eastAsia="Microsoft YaHei"/>
          <w:b w:val="0"/>
          <w:color w:val="000000"/>
          <w:sz w:val="20"/>
        </w:rPr>
        <w:t>范围外需求通过变更单明确工作量、价格和工期后实施。</w:t>
      </w:r>
    </w:p>
    <w:p>
      <w:pPr>
        <w:pStyle w:val="ListBullet"/>
        <w:spacing w:after="60"/>
        <w:ind w:left="432" w:hanging="216"/>
      </w:pPr>
      <w:r>
        <w:rPr>
          <w:rFonts w:ascii="Arial" w:hAnsi="Arial" w:eastAsia="Microsoft YaHei"/>
          <w:b w:val="0"/>
          <w:color w:val="000000"/>
          <w:sz w:val="20"/>
        </w:rPr>
        <w:t>阶段未达到门槛时，双方优先调整范围与整改；客户可不启动下一阶段。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十、董事长汇报建议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建议话术：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董事长，我们建议首期分两阶段投入。首先投入28万元，用三周时间把现有成果、系统接口、业务规则和收益基线彻底摸清；达到实施条件后，再投入130万元完成两个生产级场景。首期服务费合计158万元，考虑系统厂商接口、基础设施、年度运维和预备金，建议总预算控制在210到260万元。每个阶段都有明确交付物和验收门槛，上一阶段不满足条件，不进入下一阶段。后续项目不要求一次性采购，而是根据首期实际收益逐项决策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10.1 本次会议建议形成的决策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决策项</w:t>
            </w:r>
          </w:p>
        </w:tc>
        <w:tc>
          <w:tcPr>
            <w:tcW w:type="dxa" w:w="662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建议结论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第一阶段是否启动</w:t>
            </w:r>
          </w:p>
        </w:tc>
        <w:tc>
          <w:tcPr>
            <w:tcW w:type="dxa" w:w="66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批准3周诊断与总体设计，预算28万元</w:t>
            </w:r>
          </w:p>
        </w:tc>
      </w:tr>
      <w:tr>
        <w:tc>
          <w:tcPr>
            <w:tcW w:type="dxa" w:w="288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第二阶段预算原则</w:t>
            </w:r>
          </w:p>
        </w:tc>
        <w:tc>
          <w:tcPr>
            <w:tcW w:type="dxa" w:w="662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原则同意130万元生产级试点预算，第一阶段评审通过后正式启动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组织与资源</w:t>
            </w:r>
          </w:p>
        </w:tc>
        <w:tc>
          <w:tcPr>
            <w:tcW w:type="dxa" w:w="66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指定Sponsor、业务负责人和IT负责人；开放必要资料、样本和测试环境</w:t>
            </w:r>
          </w:p>
        </w:tc>
      </w:tr>
      <w:tr>
        <w:tc>
          <w:tcPr>
            <w:tcW w:type="dxa" w:w="288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第三、四阶段</w:t>
            </w:r>
          </w:p>
        </w:tc>
        <w:tc>
          <w:tcPr>
            <w:tcW w:type="dxa" w:w="6624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暂不一次性采购，依据首期收益与准备度逐模块决策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666666"/>
        <w:sz w:val="17"/>
      </w:rPr>
      <w:t>三丰智能 AI 落地商业方案 | 合并完整版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三丰智能AI落地商业方案-合并完整版</dc:title>
  <dc:subject>困难与价值、优先级、分阶段交付、排期与投资</dc:subject>
  <dc:creator>方案项目组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