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 w:eastAsia="Microsoft YaHei"/>
          <w:b/>
          <w:color w:val="17365D"/>
          <w:sz w:val="52"/>
        </w:rPr>
        <w:t>三丰智能 AI 落地执行方案</w:t>
      </w:r>
    </w:p>
    <w:p>
      <w:pPr>
        <w:jc w:val="center"/>
      </w:pPr>
      <w:r>
        <w:rPr>
          <w:rFonts w:ascii="Arial" w:hAnsi="Arial" w:eastAsia="Microsoft YaHei"/>
          <w:b/>
          <w:color w:val="2E74B5"/>
          <w:sz w:val="30"/>
        </w:rPr>
        <w:t>董事长汇报版 · 90天试点与三阶段路线图</w:t>
      </w:r>
    </w:p>
    <w:p>
      <w:pPr>
        <w:spacing w:after="360" w:line="276" w:lineRule="auto"/>
        <w:jc w:val="center"/>
      </w:pPr>
      <w:r>
        <w:rPr>
          <w:rFonts w:ascii="Arial" w:hAnsi="Arial" w:eastAsia="Microsoft YaHei"/>
          <w:b w:val="0"/>
          <w:i w:val="0"/>
          <w:color w:val="666666"/>
          <w:sz w:val="22"/>
        </w:rPr>
        <w:t>核心策略：AI + 规则引擎 + 系统接口 + RPA + 人工复核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汇报事项</w:t>
            </w:r>
          </w:p>
        </w:tc>
        <w:tc>
          <w:tcPr>
            <w:tcW w:type="dxa" w:w="734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建议结论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是否启动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建议启动，但采用分阶段立项、按业务结果验收</w:t>
            </w:r>
          </w:p>
        </w:tc>
      </w:tr>
      <w:tr>
        <w:tc>
          <w:tcPr>
            <w:tcW w:type="dxa" w:w="21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首期项目</w:t>
            </w:r>
          </w:p>
        </w:tc>
        <w:tc>
          <w:tcPr>
            <w:tcW w:type="dxa" w:w="73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主线：计划单据自动转化；辅线：智能审批助手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现有成果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目标六BOM物料查重、目标七CNC智能编程已经实施，首期先完成成果审计与能力复用</w:t>
            </w:r>
          </w:p>
        </w:tc>
      </w:tr>
      <w:tr>
        <w:tc>
          <w:tcPr>
            <w:tcW w:type="dxa" w:w="21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首期周期</w:t>
            </w:r>
          </w:p>
        </w:tc>
        <w:tc>
          <w:tcPr>
            <w:tcW w:type="dxa" w:w="73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90天完成试点、真实业务验证和推广决策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核心原则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先辅助后自动；先接口后RPA；高风险环节必须人工确认</w:t>
            </w:r>
          </w:p>
        </w:tc>
      </w:tr>
      <w:tr>
        <w:tc>
          <w:tcPr>
            <w:tcW w:type="dxa" w:w="21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会前版本</w:t>
            </w:r>
          </w:p>
        </w:tc>
        <w:tc>
          <w:tcPr>
            <w:tcW w:type="dxa" w:w="73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基于现有七项目标形成；预算与工期需经两周诊断校准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需要董事长拍板：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同意90天试点方向；指定业务牵头人；开放测试环境与接口调研；允许跨部门组成联合项目组。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一、执行摘要与决策建议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一句话方案：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目标六BOM物料查重和目标七CNC智能编程已经实施，不从零建设。先审计并量化其成果、复用已有技术资产；同时用90天打通OA/PLM到ERP的计划单据链路并交付审批风险助手，再推进采购、工艺和排程。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1.1 为什么这样排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计划单据自动转化规则明确、人工耗时高、错误影响大，最适合作为首个可验收项目。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审批助手能够快速让管理层直接感知AI价值，但只提供摘要和风险提示，不替代审批责任。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目标六和目标七是公司已有AI成果，应作为能力样板，优先确认采用率、业务收益、稳定性、安全控制和可复用资产。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采购、工艺和排程项目可复用已有项目与首期试点形成的数据接口、权限、日志、知识库和项目机制。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生产排程需要准确基础数据和专业优化算法；已实施的CNC智能编程仍需持续验证仿真、审核、试切和下发安全。</w:t>
      </w: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1.2 董事长本次需要作出的四项决策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决策项</w:t>
            </w:r>
          </w:p>
        </w:tc>
        <w:tc>
          <w:tcPr>
            <w:tcW w:type="dxa" w:w="374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403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不决策的影响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试点范围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批准目标四为主线、目标五为辅线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七项目同时推进，资源分散且难验收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组织机制</w:t>
            </w:r>
          </w:p>
        </w:tc>
        <w:tc>
          <w:tcPr>
            <w:tcW w:type="dxa" w:w="37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业务副总担任Sponsor，各部门指定产品负责人</w:t>
            </w:r>
          </w:p>
        </w:tc>
        <w:tc>
          <w:tcPr>
            <w:tcW w:type="dxa" w:w="403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项目变成IT单方面推动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系统权限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开放测试环境、只读数据与标准接口调研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无法验证数据与集成可行性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验收方式</w:t>
            </w:r>
          </w:p>
        </w:tc>
        <w:tc>
          <w:tcPr>
            <w:tcW w:type="dxa" w:w="37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按准确率、处理时长、节省工时、稳定性验收</w:t>
            </w:r>
          </w:p>
        </w:tc>
        <w:tc>
          <w:tcPr>
            <w:tcW w:type="dxa" w:w="403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容易停留在演示和汇报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二、总体目标、边界与成功标准</w:t>
      </w: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2.1 90天目标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4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90天可验收结果</w:t>
            </w:r>
          </w:p>
        </w:tc>
        <w:tc>
          <w:tcPr>
            <w:tcW w:type="dxa" w:w="252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验收底线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计划单据自动转化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OA/PLM归档后自动生成ERP草稿，计划员确认后提交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关键字段准确率≥99%；典型单据处理时长降低≥80%</w:t>
            </w:r>
          </w:p>
        </w:tc>
      </w:tr>
      <w:tr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审批风险助手</w:t>
            </w:r>
          </w:p>
        </w:tc>
        <w:tc>
          <w:tcPr>
            <w:tcW w:type="dxa" w:w="50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自动生成摘要、预算与历史价格异常提示，并附数据依据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摘要可用率≥90%；风险提示全部可追溯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统一集成底座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建立接口、中间数据层、权限、日志、监控和异常队列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所有自动动作可审计、可回滚</w:t>
            </w:r>
          </w:p>
        </w:tc>
      </w:tr>
      <w:tr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推广决策材料</w:t>
            </w:r>
          </w:p>
        </w:tc>
        <w:tc>
          <w:tcPr>
            <w:tcW w:type="dxa" w:w="50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形成试点ROI、问题清单及二期项目排序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董事会可据此决定是否扩围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2.2 明确不做的事情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首期不允许AI直接修改ERP核心业务表；优先标准接口，其次中间表，最后才使用受控RPA。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首期不做无人值守的全自动业务提交；所有关键单据由责任人确认。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不把生产排程交给大模型计算；排程使用约束优化/APS算法，大模型仅负责解释和交互。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不允许大模型生成G代码后直接下发机床；必须经过CAM仿真、碰撞检查、技术员审核和试切。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三、三阶段落地路线图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4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244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项目范围</w:t>
            </w:r>
          </w:p>
        </w:tc>
        <w:tc>
          <w:tcPr>
            <w:tcW w:type="dxa" w:w="28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核心结果</w:t>
            </w:r>
          </w:p>
        </w:tc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决策门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阶段0：诊断立项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第1-2周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五个待建场景诊断 + 目标六/七成果审计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确认流程、接口、数据质量、现有资产、基线、预算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数据和接口是否满足试点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阶段1：90天试点</w:t>
            </w:r>
          </w:p>
        </w:tc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第3-12周</w:t>
            </w:r>
          </w:p>
        </w:tc>
        <w:tc>
          <w:tcPr>
            <w:tcW w:type="dxa" w:w="244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目标四主线 + 目标五辅线</w:t>
            </w:r>
          </w:p>
        </w:tc>
        <w:tc>
          <w:tcPr>
            <w:tcW w:type="dxa" w:w="28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真实业务闭环、量化ROI、可复用底座</w:t>
            </w:r>
          </w:p>
        </w:tc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是否推广到更多部门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阶段2：复制扩围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第4-9个月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目标一、二；目标六持续优化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采购、工艺复用统一能力；提升BOM查重收益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是否建设企业级AI平台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阶段3：优化攻坚</w:t>
            </w:r>
          </w:p>
        </w:tc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第10-18个月</w:t>
            </w:r>
          </w:p>
        </w:tc>
        <w:tc>
          <w:tcPr>
            <w:tcW w:type="dxa" w:w="244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目标三；目标七持续优化</w:t>
            </w:r>
          </w:p>
        </w:tc>
        <w:tc>
          <w:tcPr>
            <w:tcW w:type="dxa" w:w="28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排程优化；提升CNC覆盖率与生产安全</w:t>
            </w:r>
          </w:p>
        </w:tc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是否扩大生产级自动化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四、困难点与收益分析（董事长重点）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核心判断：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这七个目标的主要困难不是“有没有大模型”，而是业务规则是否统一、历史数据是否可信、系统能否稳定集成，以及自动化出错后谁负责。收益也不能只讲节省人工，应同时计算减少错误损失、缩短交付周期、降低库存和释放设备产能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4.1 共性困难：为什么AI项目容易停留在演示阶段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3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困难类型</w:t>
            </w:r>
          </w:p>
        </w:tc>
        <w:tc>
          <w:tcPr>
            <w:tcW w:type="dxa" w:w="33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三丰可能出现的具体问题</w:t>
            </w:r>
          </w:p>
        </w:tc>
        <w:tc>
          <w:tcPr>
            <w:tcW w:type="dxa" w:w="252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对项目的影响</w:t>
            </w:r>
          </w:p>
        </w:tc>
        <w:tc>
          <w:tcPr>
            <w:tcW w:type="dxa" w:w="32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解决方式</w:t>
            </w:r>
          </w:p>
        </w:tc>
      </w:tr>
      <w:tr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业务规则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同一类单据或工艺由不同人员按经验处理，例外规则没有形成文档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系统无法稳定自动判断，频繁退回人工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先统一高频规则；例外进入人工队列；规则版本化</w:t>
            </w:r>
          </w:p>
        </w:tc>
      </w:tr>
      <w:tr>
        <w:tc>
          <w:tcPr>
            <w:tcW w:type="dxa" w:w="136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数据质量</w:t>
            </w:r>
          </w:p>
        </w:tc>
        <w:tc>
          <w:tcPr>
            <w:tcW w:type="dxa" w:w="331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物料编码、BOM版本、工时、库存和历史价格存在缺失或不一致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AI或算法会基于错误数据给出错误结果</w:t>
            </w:r>
          </w:p>
        </w:tc>
        <w:tc>
          <w:tcPr>
            <w:tcW w:type="dxa" w:w="32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建立字段质量基线、责任人和每日异常报告</w:t>
            </w:r>
          </w:p>
        </w:tc>
      </w:tr>
      <w:tr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系统集成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OA、PLM、ERP接口能力不同，直接操作数据库风险高，RPA易受界面变化影响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开发周期和稳定性不确定，后期维护成本高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优先标准接口；中间层解耦；RPA仅用于短期补位</w:t>
            </w:r>
          </w:p>
        </w:tc>
      </w:tr>
      <w:tr>
        <w:tc>
          <w:tcPr>
            <w:tcW w:type="dxa" w:w="136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算法边界</w:t>
            </w:r>
          </w:p>
        </w:tc>
        <w:tc>
          <w:tcPr>
            <w:tcW w:type="dxa" w:w="331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把规则、优化计算和大模型混在一起，错误地让大模型承担精确计算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结果不可控、难解释、难验收</w:t>
            </w:r>
          </w:p>
        </w:tc>
        <w:tc>
          <w:tcPr>
            <w:tcW w:type="dxa" w:w="32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确定性任务用规则/优化算法；大模型处理文档与交互</w:t>
            </w:r>
          </w:p>
        </w:tc>
      </w:tr>
      <w:tr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安全责任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自动生成单据、排程或加工程序一旦错误，可能造成付款、交期、设备风险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业务部门不敢使用，或发生重大损失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人工确认、影子运行、审计、回滚、安全门禁</w:t>
            </w:r>
          </w:p>
        </w:tc>
      </w:tr>
      <w:tr>
        <w:tc>
          <w:tcPr>
            <w:tcW w:type="dxa" w:w="136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组织采用</w:t>
            </w:r>
          </w:p>
        </w:tc>
        <w:tc>
          <w:tcPr>
            <w:tcW w:type="dxa" w:w="331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系统由IT推动，业务人员不参与规则设计；上线后仍按原方式工作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系统有功能但无人使用，收益无法兑现</w:t>
            </w:r>
          </w:p>
        </w:tc>
        <w:tc>
          <w:tcPr>
            <w:tcW w:type="dxa" w:w="32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业务负责人主责；使用率纳入验收；持续跟踪人工修改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4.2 七个目标逐项困难与收益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5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37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最难的地方</w:t>
            </w:r>
          </w:p>
        </w:tc>
        <w:tc>
          <w:tcPr>
            <w:tcW w:type="dxa" w:w="25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收益从哪里产生</w:t>
            </w:r>
          </w:p>
        </w:tc>
        <w:tc>
          <w:tcPr>
            <w:tcW w:type="dxa" w:w="266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量化方式</w:t>
            </w:r>
          </w:p>
        </w:tc>
        <w:tc>
          <w:tcPr>
            <w:tcW w:type="dxa" w:w="201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董事长应关注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 采购单据自动化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发票格式多样；采购订单与发票不完全一致；税务、价格和付款异常不能误判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减少录单与核对工时；减少错付、重复付款和价格异常；加快付款流转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年单据量×每单节省分钟×人力成本；异常避免损失；付款周期变化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先覆盖标准发票与正常订单，异常必须人工确认</w:t>
            </w:r>
          </w:p>
        </w:tc>
      </w:tr>
      <w:tr>
        <w:tc>
          <w:tcPr>
            <w:tcW w:type="dxa" w:w="151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 工艺查重与工时推荐</w:t>
            </w:r>
          </w:p>
        </w:tc>
        <w:tc>
          <w:tcPr>
            <w:tcW w:type="dxa" w:w="237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历史标准工时可能不准；图纸相似不等于工艺相同；经验难结构化</w:t>
            </w:r>
          </w:p>
        </w:tc>
        <w:tc>
          <w:tcPr>
            <w:tcW w:type="dxa" w:w="25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减少重复编制；提高标准工时准确性；改善报价和成本核算</w:t>
            </w:r>
          </w:p>
        </w:tc>
        <w:tc>
          <w:tcPr>
            <w:tcW w:type="dxa" w:w="266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每年新零件数×节省工时；实际工时偏差率；工艺复用率；报价毛利改善</w:t>
            </w:r>
          </w:p>
        </w:tc>
        <w:tc>
          <w:tcPr>
            <w:tcW w:type="dxa" w:w="20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先做推荐，不直接覆盖工艺和标准工时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 生产智能排程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约束条件多且经常变化；基础工时、齐套和设备状态不准；插单频繁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减少排程时间、停工待料和延期；提高设备利用率与交期可信度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交期达成率；停工待料小时；在制品周期；OEE；排程人工时间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潜在收益最大，但基础最难，不能用大模型直接排程</w:t>
            </w:r>
          </w:p>
        </w:tc>
      </w:tr>
      <w:tr>
        <w:tc>
          <w:tcPr>
            <w:tcW w:type="dxa" w:w="151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4 计划单据自动转化</w:t>
            </w:r>
          </w:p>
        </w:tc>
        <w:tc>
          <w:tcPr>
            <w:tcW w:type="dxa" w:w="237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跨系统字段和规则复杂；批量错误会直接影响采购与生产；接口稳定性要求高</w:t>
            </w:r>
          </w:p>
        </w:tc>
        <w:tc>
          <w:tcPr>
            <w:tcW w:type="dxa" w:w="25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减少计划员转单工时；减少漏单错单；提前启动采购和生产</w:t>
            </w:r>
          </w:p>
        </w:tc>
        <w:tc>
          <w:tcPr>
            <w:tcW w:type="dxa" w:w="266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年单据量×每单节省时间；错漏单下降；从归档到ERP生成的周期；延期避免损失</w:t>
            </w:r>
          </w:p>
        </w:tc>
        <w:tc>
          <w:tcPr>
            <w:tcW w:type="dxa" w:w="20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最适合首期，效果快且可量化，但必须先草稿后提交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5 智能审批助手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合同附件复杂；风险规则需财务采购确认；摘要错误可能误导审批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减少管理层阅读核对时间；提前发现超预算、异常价格和合规风险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审批人节省时间；风险发现数量与金额；审批周期；遗漏率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管理层感知强，但AI只能提示，不能替代审批责任</w:t>
            </w:r>
          </w:p>
        </w:tc>
      </w:tr>
      <w:tr>
        <w:tc>
          <w:tcPr>
            <w:tcW w:type="dxa" w:w="151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6 BOM物料查重（已做）</w:t>
            </w:r>
          </w:p>
        </w:tc>
        <w:tc>
          <w:tcPr>
            <w:tcW w:type="dxa" w:w="237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要证明相似推荐真正被采用；文本相似可能忽略尺寸、材质等关键差异</w:t>
            </w:r>
          </w:p>
        </w:tc>
        <w:tc>
          <w:tcPr>
            <w:tcW w:type="dxa" w:w="25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减少重复物料和重复设计；消耗库存；降低采购成本和呆滞料</w:t>
            </w:r>
          </w:p>
        </w:tc>
        <w:tc>
          <w:tcPr>
            <w:tcW w:type="dxa" w:w="266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新增物料下降数；推荐采用率；复用库存金额；采购降本；设计节省工时</w:t>
            </w:r>
          </w:p>
        </w:tc>
        <w:tc>
          <w:tcPr>
            <w:tcW w:type="dxa" w:w="20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现场必须拿出已产生的实际数据，否则只能证明系统上线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7 CNC智能编程（已做）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不同机型、刀具和复杂零件覆盖难；任何错误都可能造成设备与安全事故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缩短编程和准备时间；减少机床等待；提升开机率和加工产能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程序采用率；单件编程节省小时；仿真/试切通过率；机床等待时间；OEE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重点不是是否生成程序，而是安全通过率和实际产能收益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4.3 收益如何算成钱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收益类型</w:t>
            </w:r>
          </w:p>
        </w:tc>
        <w:tc>
          <w:tcPr>
            <w:tcW w:type="dxa" w:w="39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计算公式</w:t>
            </w:r>
          </w:p>
        </w:tc>
        <w:tc>
          <w:tcPr>
            <w:tcW w:type="dxa" w:w="187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适用目标</w:t>
            </w:r>
          </w:p>
        </w:tc>
        <w:tc>
          <w:tcPr>
            <w:tcW w:type="dxa" w:w="35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直接节省人工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年处理量 × 单次节省时间 ÷ 60 × 岗位综合小时成本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1、2、4、5、6、7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释放工时不一定等于裁员收益，应说明人员转向的高价值工作</w:t>
            </w:r>
          </w:p>
        </w:tc>
      </w:tr>
      <w:tr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减少错误损失</w:t>
            </w:r>
          </w:p>
        </w:tc>
        <w:tc>
          <w:tcPr>
            <w:tcW w:type="dxa" w:w="39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历史年均错误次数 × 单次平均损失 × 预计降低比例</w:t>
            </w:r>
          </w:p>
        </w:tc>
        <w:tc>
          <w:tcPr>
            <w:tcW w:type="dxa" w:w="187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1、4、5</w:t>
            </w:r>
          </w:p>
        </w:tc>
        <w:tc>
          <w:tcPr>
            <w:tcW w:type="dxa" w:w="35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必须用历史案例和财务认可的数据，不能拍脑袋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库存与采购降本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复用库存金额 + 重复物料减少采购额 + 价格异常避免额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1、6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区分一次性库存释放与每年持续收益</w:t>
            </w:r>
          </w:p>
        </w:tc>
      </w:tr>
      <w:tr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交付与现金流改善</w:t>
            </w:r>
          </w:p>
        </w:tc>
        <w:tc>
          <w:tcPr>
            <w:tcW w:type="dxa" w:w="39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延期减少带来的违约/加急成本下降 + 回款提前收益</w:t>
            </w:r>
          </w:p>
        </w:tc>
        <w:tc>
          <w:tcPr>
            <w:tcW w:type="dxa" w:w="187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3、4</w:t>
            </w:r>
          </w:p>
        </w:tc>
        <w:tc>
          <w:tcPr>
            <w:tcW w:type="dxa" w:w="35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需要项目、财务共同确认口径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产能释放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减少等待/编程小时 × 设备小时贡献价值，或新增可加工产量×单位贡献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3、7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需避免把理论产能全部算成实际收入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收益承诺原则：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会前没有真实业务数据时，不承诺具体年度收益金额。可以承诺90天内建立经财务确认的收益基线，并用影子运行和试运行数据计算可审计ROI。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4.4 目标六、目标七已完成项目的成果数据卡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8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已有项目</w:t>
            </w:r>
          </w:p>
        </w:tc>
        <w:tc>
          <w:tcPr>
            <w:tcW w:type="dxa" w:w="453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周三必须准备的数据</w:t>
            </w:r>
          </w:p>
        </w:tc>
        <w:tc>
          <w:tcPr>
            <w:tcW w:type="dxa" w:w="453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董事长听到的结论模板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目标六：BOM物料查重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上线时间；覆盖部门与用户数；查询/推荐次数；推荐采用率；减少新增物料数；复用库存金额；采购降本；错误推荐案例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系统已覆盖___部门、___名用户；累计推荐___次，采用率___%；减少新增物料___个，复用库存/降低采购金额___万元。下一步重点是___。</w:t>
            </w:r>
          </w:p>
        </w:tc>
      </w:tr>
      <w:tr>
        <w:tc>
          <w:tcPr>
            <w:tcW w:type="dxa" w:w="208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目标七：CNC智能编程</w:t>
            </w:r>
          </w:p>
        </w:tc>
        <w:tc>
          <w:tcPr>
            <w:tcW w:type="dxa" w:w="453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上线时间；覆盖机型和零件类型；生成程序数；实际采用率；平均节省编程时间；仿真/试切通过率；异常/事故记录；OEE变化</w:t>
            </w:r>
          </w:p>
        </w:tc>
        <w:tc>
          <w:tcPr>
            <w:tcW w:type="dxa" w:w="453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系统已覆盖___类零件和___台机床；累计生成___个程序，采用率___%；平均每件节省___小时，仿真/试切通过率___%，累计释放产能___小时。下一步重点是___。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五、90天详细实施计划</w:t>
      </w: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5.1 工作分解与周计划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33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重点任务</w:t>
            </w:r>
          </w:p>
        </w:tc>
        <w:tc>
          <w:tcPr>
            <w:tcW w:type="dxa" w:w="28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关键交付物</w:t>
            </w:r>
          </w:p>
        </w:tc>
        <w:tc>
          <w:tcPr>
            <w:tcW w:type="dxa" w:w="14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责任方</w:t>
            </w:r>
          </w:p>
        </w:tc>
        <w:tc>
          <w:tcPr>
            <w:tcW w:type="dxa" w:w="18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验收点</w:t>
            </w:r>
          </w:p>
        </w:tc>
      </w:tr>
      <w:tr>
        <w:tc>
          <w:tcPr>
            <w:tcW w:type="dxa" w:w="6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W1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启动会；确认试点范围；盘点目标六/七现状、团队、系统和资产；建立项目台账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项目章程、RACI、现有成果清单、数据申请清单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Sponsor/项目经理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范围和负责人签字确认</w:t>
            </w:r>
          </w:p>
        </w:tc>
      </w:tr>
      <w:tr>
        <w:tc>
          <w:tcPr>
            <w:tcW w:type="dxa" w:w="691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W2</w:t>
            </w:r>
          </w:p>
        </w:tc>
        <w:tc>
          <w:tcPr>
            <w:tcW w:type="dxa" w:w="33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走查OA/PLM/ERP流程；采集历史样本；测量基线；审计目标六/七收益、稳定性和安全</w:t>
            </w:r>
          </w:p>
        </w:tc>
        <w:tc>
          <w:tcPr>
            <w:tcW w:type="dxa" w:w="28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现状流程图、字段映射、基线报告、接口评估、六/七审计报告</w:t>
            </w:r>
          </w:p>
        </w:tc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业务+IT+实施方</w:t>
            </w:r>
          </w:p>
        </w:tc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确定Go/No-Go、可复用资产及校准预算</w:t>
            </w:r>
          </w:p>
        </w:tc>
      </w:tr>
      <w:tr>
        <w:tc>
          <w:tcPr>
            <w:tcW w:type="dxa" w:w="6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W3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设计目标流程；定义异常分支、人工复核点、审计日志和权限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目标流程、原型、验收用例、技术设计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产品负责人+架构师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业务确认设计</w:t>
            </w:r>
          </w:p>
        </w:tc>
      </w:tr>
      <w:tr>
        <w:tc>
          <w:tcPr>
            <w:tcW w:type="dxa" w:w="691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W4</w:t>
            </w:r>
          </w:p>
        </w:tc>
        <w:tc>
          <w:tcPr>
            <w:tcW w:type="dxa" w:w="33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搭建开发测试环境、中间数据层、接口与日志框架</w:t>
            </w:r>
          </w:p>
        </w:tc>
        <w:tc>
          <w:tcPr>
            <w:tcW w:type="dxa" w:w="28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可运行集成骨架、权限矩阵、监控框架</w:t>
            </w:r>
          </w:p>
        </w:tc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IT+开发</w:t>
            </w:r>
          </w:p>
        </w:tc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端到端空跑通过</w:t>
            </w:r>
          </w:p>
        </w:tc>
      </w:tr>
      <w:tr>
        <w:tc>
          <w:tcPr>
            <w:tcW w:type="dxa" w:w="6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W5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实现OA/PLM数据读取、字段校验、主数据匹配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数据采集与校验模块、异常队列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开发+计划部门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样本字段准确率≥95%</w:t>
            </w:r>
          </w:p>
        </w:tc>
      </w:tr>
      <w:tr>
        <w:tc>
          <w:tcPr>
            <w:tcW w:type="dxa" w:w="691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W6</w:t>
            </w:r>
          </w:p>
        </w:tc>
        <w:tc>
          <w:tcPr>
            <w:tcW w:type="dxa" w:w="33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实现MRP规则、拆单逻辑与ERP草稿生成</w:t>
            </w:r>
          </w:p>
        </w:tc>
        <w:tc>
          <w:tcPr>
            <w:tcW w:type="dxa" w:w="28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规则引擎、ERP草稿接口/RPA</w:t>
            </w:r>
          </w:p>
        </w:tc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开发+ERP顾问</w:t>
            </w:r>
          </w:p>
        </w:tc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核心业务用例通过</w:t>
            </w:r>
          </w:p>
        </w:tc>
      </w:tr>
      <w:tr>
        <w:tc>
          <w:tcPr>
            <w:tcW w:type="dxa" w:w="6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W7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实现审批摘要、预算/历史价格比对与来源引用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审批助手Beta、风险规则库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AI工程师+财务/采购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风险提示可追溯</w:t>
            </w:r>
          </w:p>
        </w:tc>
      </w:tr>
      <w:tr>
        <w:tc>
          <w:tcPr>
            <w:tcW w:type="dxa" w:w="691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W8</w:t>
            </w:r>
          </w:p>
        </w:tc>
        <w:tc>
          <w:tcPr>
            <w:tcW w:type="dxa" w:w="33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集成测试；完善重试、幂等、回滚、告警；安全检查</w:t>
            </w:r>
          </w:p>
        </w:tc>
        <w:tc>
          <w:tcPr>
            <w:tcW w:type="dxa" w:w="28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集成测试报告、安全检查表</w:t>
            </w:r>
          </w:p>
        </w:tc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测试+IT安全</w:t>
            </w:r>
          </w:p>
        </w:tc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P1/P2缺陷清零</w:t>
            </w:r>
          </w:p>
        </w:tc>
      </w:tr>
      <w:tr>
        <w:tc>
          <w:tcPr>
            <w:tcW w:type="dxa" w:w="6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W9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用户验收测试UAT；培训超级用户；修正规则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UAT报告、培训材料、操作SOP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业务负责人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UAT通过率≥95%</w:t>
            </w:r>
          </w:p>
        </w:tc>
      </w:tr>
      <w:tr>
        <w:tc>
          <w:tcPr>
            <w:tcW w:type="dxa" w:w="691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W10</w:t>
            </w:r>
          </w:p>
        </w:tc>
        <w:tc>
          <w:tcPr>
            <w:tcW w:type="dxa" w:w="33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影子运行：系统生成结果但不写入正式业务，由人工对比</w:t>
            </w:r>
          </w:p>
        </w:tc>
        <w:tc>
          <w:tcPr>
            <w:tcW w:type="dxa" w:w="28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影子运行日报、差异清单</w:t>
            </w:r>
          </w:p>
        </w:tc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业务+实施方</w:t>
            </w:r>
          </w:p>
        </w:tc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关键字段准确率≥99%</w:t>
            </w:r>
          </w:p>
        </w:tc>
      </w:tr>
      <w:tr>
        <w:tc>
          <w:tcPr>
            <w:tcW w:type="dxa" w:w="6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W11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小范围正式试运行；人工确认后提交；每日复盘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试运行报告、异常闭环记录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业务+IT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连续5个工作日稳定</w:t>
            </w:r>
          </w:p>
        </w:tc>
      </w:tr>
      <w:tr>
        <w:tc>
          <w:tcPr>
            <w:tcW w:type="dxa" w:w="691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W12</w:t>
            </w:r>
          </w:p>
        </w:tc>
        <w:tc>
          <w:tcPr>
            <w:tcW w:type="dxa" w:w="33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效果评估、ROI复盘、运维移交、二期路线图与汇报</w:t>
            </w:r>
          </w:p>
        </w:tc>
        <w:tc>
          <w:tcPr>
            <w:tcW w:type="dxa" w:w="28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验收报告、运维手册、二期建议</w:t>
            </w:r>
          </w:p>
        </w:tc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项目组</w:t>
            </w:r>
          </w:p>
        </w:tc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董事长/SteerCo验收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5.2 首期主线：计划单据自动转化</w:t>
      </w:r>
    </w:p>
    <w:p>
      <w:pPr>
        <w:pStyle w:val="ListNumber"/>
        <w:spacing w:after="80"/>
        <w:ind w:left="403" w:hanging="216"/>
      </w:pPr>
      <w:r>
        <w:rPr>
          <w:rFonts w:ascii="Arial" w:hAnsi="Arial" w:eastAsia="Microsoft YaHei"/>
          <w:b w:val="0"/>
          <w:color w:val="000000"/>
          <w:sz w:val="20"/>
        </w:rPr>
        <w:t>触发：OA计划申请审批归档或PLM新BOM发布后，系统接收事件或定时读取。</w:t>
      </w:r>
    </w:p>
    <w:p>
      <w:pPr>
        <w:pStyle w:val="ListNumber"/>
        <w:spacing w:after="80"/>
        <w:ind w:left="403" w:hanging="216"/>
      </w:pPr>
      <w:r>
        <w:rPr>
          <w:rFonts w:ascii="Arial" w:hAnsi="Arial" w:eastAsia="Microsoft YaHei"/>
          <w:b w:val="0"/>
          <w:color w:val="000000"/>
          <w:sz w:val="20"/>
        </w:rPr>
        <w:t>校验：检查项目号、物料编码、版本、数量、单位、交期和审批状态；异常进入人工队列。</w:t>
      </w:r>
    </w:p>
    <w:p>
      <w:pPr>
        <w:pStyle w:val="ListNumber"/>
        <w:spacing w:after="80"/>
        <w:ind w:left="403" w:hanging="216"/>
      </w:pPr>
      <w:r>
        <w:rPr>
          <w:rFonts w:ascii="Arial" w:hAnsi="Arial" w:eastAsia="Microsoft YaHei"/>
          <w:b w:val="0"/>
          <w:color w:val="000000"/>
          <w:sz w:val="20"/>
        </w:rPr>
        <w:t>计算：依据已确认规则计算净需求、预提、拆单和采购/生产分类。复杂判断不直接交给大模型。</w:t>
      </w:r>
    </w:p>
    <w:p>
      <w:pPr>
        <w:pStyle w:val="ListNumber"/>
        <w:spacing w:after="80"/>
        <w:ind w:left="403" w:hanging="216"/>
      </w:pPr>
      <w:r>
        <w:rPr>
          <w:rFonts w:ascii="Arial" w:hAnsi="Arial" w:eastAsia="Microsoft YaHei"/>
          <w:b w:val="0"/>
          <w:color w:val="000000"/>
          <w:sz w:val="20"/>
        </w:rPr>
        <w:t>生成：通过ERP标准接口生成生产计划、生产订单和预购单草稿；无接口时采用受控RPA。</w:t>
      </w:r>
    </w:p>
    <w:p>
      <w:pPr>
        <w:pStyle w:val="ListNumber"/>
        <w:spacing w:after="80"/>
        <w:ind w:left="403" w:hanging="216"/>
      </w:pPr>
      <w:r>
        <w:rPr>
          <w:rFonts w:ascii="Arial" w:hAnsi="Arial" w:eastAsia="Microsoft YaHei"/>
          <w:b w:val="0"/>
          <w:color w:val="000000"/>
          <w:sz w:val="20"/>
        </w:rPr>
        <w:t>复核：计划员查看差异说明和数据来源，一键确认或退回；正式提交仍由责任人完成。</w:t>
      </w:r>
    </w:p>
    <w:p>
      <w:pPr>
        <w:pStyle w:val="ListNumber"/>
        <w:spacing w:after="80"/>
        <w:ind w:left="403" w:hanging="216"/>
      </w:pPr>
      <w:r>
        <w:rPr>
          <w:rFonts w:ascii="Arial" w:hAnsi="Arial" w:eastAsia="Microsoft YaHei"/>
          <w:b w:val="0"/>
          <w:color w:val="000000"/>
          <w:sz w:val="20"/>
        </w:rPr>
        <w:t>审计：记录输入、规则版本、生成结果、人工修改、提交人、时间和失败原因。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94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5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正常处理</w:t>
            </w:r>
          </w:p>
        </w:tc>
        <w:tc>
          <w:tcPr>
            <w:tcW w:type="dxa" w:w="381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异常处理</w:t>
            </w:r>
          </w:p>
        </w:tc>
        <w:tc>
          <w:tcPr>
            <w:tcW w:type="dxa" w:w="129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物料编码不存在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不生成ERP草稿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进入主数据异常队列，通知计划员/物料管理员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物料管理员</w:t>
            </w:r>
          </w:p>
        </w:tc>
      </w:tr>
      <w:tr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BOM版本不一致</w:t>
            </w:r>
          </w:p>
        </w:tc>
        <w:tc>
          <w:tcPr>
            <w:tcW w:type="dxa" w:w="25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暂停该BOM处理</w:t>
            </w:r>
          </w:p>
        </w:tc>
        <w:tc>
          <w:tcPr>
            <w:tcW w:type="dxa" w:w="38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展示版本差异并要求确认</w:t>
            </w:r>
          </w:p>
        </w:tc>
        <w:tc>
          <w:tcPr>
            <w:tcW w:type="dxa" w:w="129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设计/计划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数量或单位异常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规则校验拦截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人工修正后重新运行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计划员</w:t>
            </w:r>
          </w:p>
        </w:tc>
      </w:tr>
      <w:tr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ERP接口失败</w:t>
            </w:r>
          </w:p>
        </w:tc>
        <w:tc>
          <w:tcPr>
            <w:tcW w:type="dxa" w:w="25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自动重试，保证幂等</w:t>
            </w:r>
          </w:p>
        </w:tc>
        <w:tc>
          <w:tcPr>
            <w:tcW w:type="dxa" w:w="38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超过阈值告警并转人工</w:t>
            </w:r>
          </w:p>
        </w:tc>
        <w:tc>
          <w:tcPr>
            <w:tcW w:type="dxa" w:w="129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IT运维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人工修改生成结果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允许修改后提交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记录修改前后差异用于规则优化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计划员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5.3 首期辅线：智能审批与合规助手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输入：审批正文、合同/报价单/PDF附件、ERP预算、历史同类采购价格及供应商记录。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输出：不超过一屏的审批摘要、关键金额/交期/付款条件、异常项、风险等级及原始数据链接。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规则优先：超预算、价格偏差、重复付款、缺少附件等确定性检查由规则引擎完成。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AI职责：提取和总结非结构化附件、解释异常、生成便于审批人阅读的内容。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责任边界：AI只提示，不自动同意或拒绝；审批人承担最终决策责任。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六、七个项目逐项执行方案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29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15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首个可用版本</w:t>
            </w:r>
          </w:p>
        </w:tc>
        <w:tc>
          <w:tcPr>
            <w:tcW w:type="dxa" w:w="237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实施前置条件</w:t>
            </w:r>
          </w:p>
        </w:tc>
        <w:tc>
          <w:tcPr>
            <w:tcW w:type="dxa" w:w="194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核心验收指标</w:t>
            </w:r>
          </w:p>
        </w:tc>
        <w:tc>
          <w:tcPr>
            <w:tcW w:type="dxa" w:w="15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主要风险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4 计划单据转化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P0 首期主线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12周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流程规则、ERP接口、主数据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准确率≥99%；时长降≥80%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错误批量写入ERP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5 智能审批助手</w:t>
            </w:r>
          </w:p>
        </w:tc>
        <w:tc>
          <w:tcPr>
            <w:tcW w:type="dxa" w:w="129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P0 首期辅线</w:t>
            </w:r>
          </w:p>
        </w:tc>
        <w:tc>
          <w:tcPr>
            <w:tcW w:type="dxa" w:w="115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8-12周</w:t>
            </w:r>
          </w:p>
        </w:tc>
        <w:tc>
          <w:tcPr>
            <w:tcW w:type="dxa" w:w="237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附件可读、预算/价格数据</w:t>
            </w:r>
          </w:p>
        </w:tc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摘要可用率≥90%；可追溯</w:t>
            </w:r>
          </w:p>
        </w:tc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幻觉、责任边界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6 BOM物料查重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已实施/持续优化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W1-W2成果审计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现有系统、使用日志、物料数据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采用率、降重率、库存/采购收益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使用率低或误判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7 CNC智能编程</w:t>
            </w:r>
          </w:p>
        </w:tc>
        <w:tc>
          <w:tcPr>
            <w:tcW w:type="dxa" w:w="129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已实施/持续优化</w:t>
            </w:r>
          </w:p>
        </w:tc>
        <w:tc>
          <w:tcPr>
            <w:tcW w:type="dxa" w:w="115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W1-W2成果审计</w:t>
            </w:r>
          </w:p>
        </w:tc>
        <w:tc>
          <w:tcPr>
            <w:tcW w:type="dxa" w:w="237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现有系统、程序日志、安全记录</w:t>
            </w:r>
          </w:p>
        </w:tc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覆盖率、节省工时、仿真/试切通过率</w:t>
            </w:r>
          </w:p>
        </w:tc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设备与人身安全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 采购单据自动化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P1 二期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10-14周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发票样本、采购订单、财务规则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三单匹配准确率≥99%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税务/付款错误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 工艺查重与工时推荐</w:t>
            </w:r>
          </w:p>
        </w:tc>
        <w:tc>
          <w:tcPr>
            <w:tcW w:type="dxa" w:w="129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P1/P2</w:t>
            </w:r>
          </w:p>
        </w:tc>
        <w:tc>
          <w:tcPr>
            <w:tcW w:type="dxa" w:w="115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16-24周</w:t>
            </w:r>
          </w:p>
        </w:tc>
        <w:tc>
          <w:tcPr>
            <w:tcW w:type="dxa" w:w="237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历史工艺与实际工时可信</w:t>
            </w:r>
          </w:p>
        </w:tc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推荐采用率；偏差率降低</w:t>
            </w:r>
          </w:p>
        </w:tc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历史数据本身不准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 智能生产排程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P2 三期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20-32周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工时、齐套、设备日历准确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交期达成率；换线/等待降低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错误约束导致不可执行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6.1 已实施项目成果审计与优化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1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9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W1-W2必须确认</w:t>
            </w:r>
          </w:p>
        </w:tc>
        <w:tc>
          <w:tcPr>
            <w:tcW w:type="dxa" w:w="39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后续优化方向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目标六：BOM物料查重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上线范围、活跃用户、查重准确率、替代采用率、减少的新物料数量、库存与采购收益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将已有物料知识库、检索服务和用户反馈机制复用于工艺查重；补齐关键尺寸、材质与替代规则校验</w:t>
            </w:r>
          </w:p>
        </w:tc>
      </w:tr>
      <w:tr>
        <w:tc>
          <w:tcPr>
            <w:tcW w:type="dxa" w:w="21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目标七：CNC智能编程</w:t>
            </w:r>
          </w:p>
        </w:tc>
        <w:tc>
          <w:tcPr>
            <w:tcW w:type="dxa" w:w="39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覆盖机型和零件类型、程序采用率、节省编程工时、仿真/试切通过率、事故与异常记录、人工审核流程</w:t>
            </w:r>
          </w:p>
        </w:tc>
        <w:tc>
          <w:tcPr>
            <w:tcW w:type="dxa" w:w="39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沉淀受验证的程序资产和安全门禁；扩大覆盖范围前必须保持仿真、审核、试切和可追溯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汇报重点：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不要只说目标六和目标七“已经做了”，要准备可量化结果。董事长最可能追问：多少人在用、节省了多少时间、减少了多少新物料、提高了多少编程效率、是否真正稳定运行。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6.2 二期项目实施要点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4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6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建议MVP</w:t>
            </w:r>
          </w:p>
        </w:tc>
        <w:tc>
          <w:tcPr>
            <w:tcW w:type="dxa" w:w="32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禁止直接跨越的控制点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采购单据自动化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邮件下载、OCR/多模态提取、采购订单匹配、生成收票/付款草稿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付款申请必须人工确认；税票真伪与金额异常必须拦截</w:t>
            </w:r>
          </w:p>
        </w:tc>
      </w:tr>
      <w:tr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工艺与工时推荐</w:t>
            </w:r>
          </w:p>
        </w:tc>
        <w:tc>
          <w:tcPr>
            <w:tcW w:type="dxa" w:w="46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推荐相似历史工艺和工时区间，由工艺员确认</w:t>
            </w:r>
          </w:p>
        </w:tc>
        <w:tc>
          <w:tcPr>
            <w:tcW w:type="dxa" w:w="32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不得直接覆盖标准工时；保留推荐依据与人工调整原因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6.3 三期项目安全边界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82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正确技术路线</w:t>
            </w:r>
          </w:p>
        </w:tc>
        <w:tc>
          <w:tcPr>
            <w:tcW w:type="dxa" w:w="33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安全边界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生产排程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数据集成 + 约束模型 + 优化求解器/APS + 场景模拟；AI负责问答和解释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排程发布前由调度确认；所有约束可查看；支持回滚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已实施CNC智能编程</w:t>
            </w:r>
          </w:p>
        </w:tc>
        <w:tc>
          <w:tcPr>
            <w:tcW w:type="dxa" w:w="482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复核现有几何识别、程序生成/检索、CAM仿真和下发链路</w:t>
            </w:r>
          </w:p>
        </w:tc>
        <w:tc>
          <w:tcPr>
            <w:tcW w:type="dxa" w:w="331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持续执行碰撞检查、技术员审核、试切；扩大自动化等级前必须通过安全评审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七、技术架构与数据治理</w:t>
      </w: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7.1 推荐架构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65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74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组成</w:t>
            </w:r>
          </w:p>
        </w:tc>
        <w:tc>
          <w:tcPr>
            <w:tcW w:type="dxa" w:w="446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业务系统层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OA、PLM、ERP、邮件、文档库、DNC/CAM（后期）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业务数据来源与结果承载</w:t>
            </w:r>
          </w:p>
        </w:tc>
      </w:tr>
      <w:tr>
        <w:tc>
          <w:tcPr>
            <w:tcW w:type="dxa" w:w="16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集成层</w:t>
            </w:r>
          </w:p>
        </w:tc>
        <w:tc>
          <w:tcPr>
            <w:tcW w:type="dxa" w:w="37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标准API、消息/定时任务、中间数据表、受控RPA</w:t>
            </w:r>
          </w:p>
        </w:tc>
        <w:tc>
          <w:tcPr>
            <w:tcW w:type="dxa" w:w="446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稳定连接系统，避免直接改核心表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数据与规则层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主数据映射、规则引擎、数据质量、向量库、审计库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承载确定性规则、知识检索和追溯</w:t>
            </w:r>
          </w:p>
        </w:tc>
      </w:tr>
      <w:tr>
        <w:tc>
          <w:tcPr>
            <w:tcW w:type="dxa" w:w="16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AI能力层</w:t>
            </w:r>
          </w:p>
        </w:tc>
        <w:tc>
          <w:tcPr>
            <w:tcW w:type="dxa" w:w="37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文档识别、信息抽取、摘要、知识检索、Agent编排</w:t>
            </w:r>
          </w:p>
        </w:tc>
        <w:tc>
          <w:tcPr>
            <w:tcW w:type="dxa" w:w="446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处理非结构化信息并辅助决策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应用层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计划自动化、审批助手、采购匹配、BOM/工艺助手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面向具体岗位交付结果</w:t>
            </w:r>
          </w:p>
        </w:tc>
      </w:tr>
      <w:tr>
        <w:tc>
          <w:tcPr>
            <w:tcW w:type="dxa" w:w="16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治理运维层</w:t>
            </w:r>
          </w:p>
        </w:tc>
        <w:tc>
          <w:tcPr>
            <w:tcW w:type="dxa" w:w="37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身份权限、脱敏、日志、监控、告警、评测、版本管理</w:t>
            </w:r>
          </w:p>
        </w:tc>
        <w:tc>
          <w:tcPr>
            <w:tcW w:type="dxa" w:w="446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确保安全、稳定、可审计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7.2 数据治理最小清单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建立项目号、物料编码、供应商、单位、版本、组织等主数据责任人。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对试点字段建立完整性、唯一性、有效性、一致性校验规则，并形成每日质量报告。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所有AI输出必须保存输入版本、模型/规则版本、数据来源和人工修改记录。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敏感合同、价格和个人信息按角色授权；外部模型使用前完成数据安全评审。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正式环境与测试环境隔离；使用脱敏历史数据开发，最小权限访问正式系统。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八、组织、责任与运行机制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5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4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建议人员</w:t>
            </w:r>
          </w:p>
        </w:tc>
        <w:tc>
          <w:tcPr>
            <w:tcW w:type="dxa" w:w="432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201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投入要求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项目Sponsor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业务副总/总经理级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协调跨部门资源、裁决范围与优先级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双周30分钟</w:t>
            </w:r>
          </w:p>
        </w:tc>
      </w:tr>
      <w:tr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业务产品负责人</w:t>
            </w:r>
          </w:p>
        </w:tc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计划部门负责人</w:t>
            </w:r>
          </w:p>
        </w:tc>
        <w:tc>
          <w:tcPr>
            <w:tcW w:type="dxa" w:w="43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定义规则、验收结果、推动用户采用</w:t>
            </w:r>
          </w:p>
        </w:tc>
        <w:tc>
          <w:tcPr>
            <w:tcW w:type="dxa" w:w="20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每周0.5-1天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项目经理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数字化/IT负责人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计划、风险、依赖、汇报和供应商管理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全程主责</w:t>
            </w:r>
          </w:p>
        </w:tc>
      </w:tr>
      <w:tr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业务骨干</w:t>
            </w:r>
          </w:p>
        </w:tc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计划、财务、采购、设计各1-2人</w:t>
            </w:r>
          </w:p>
        </w:tc>
        <w:tc>
          <w:tcPr>
            <w:tcW w:type="dxa" w:w="43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提供样本、规则、UAT和培训</w:t>
            </w:r>
          </w:p>
        </w:tc>
        <w:tc>
          <w:tcPr>
            <w:tcW w:type="dxa" w:w="20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关键周每周0.5天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IT/ERP顾问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内部IT或系统服务商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接口、权限、环境、ERP业务校验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按迭代投入</w:t>
            </w:r>
          </w:p>
        </w:tc>
      </w:tr>
      <w:tr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实施团队</w:t>
            </w:r>
          </w:p>
        </w:tc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架构、开发、AI、测试、运维</w:t>
            </w:r>
          </w:p>
        </w:tc>
        <w:tc>
          <w:tcPr>
            <w:tcW w:type="dxa" w:w="43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设计、开发、测试、上线、移交</w:t>
            </w:r>
          </w:p>
        </w:tc>
        <w:tc>
          <w:tcPr>
            <w:tcW w:type="dxa" w:w="20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4-6人核心团队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8.1 会议与决策机制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每日15分钟项目站会：处理阻塞和当日任务。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每周一次业务评审：展示真实样本结果，确认规则变化，不做纯PPT汇报。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双周一次指导委员会：Sponsor裁决范围、资源和重大风险。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所有新增需求进入需求池，评估收益和影响后排期，避免试点范围失控。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九、预算、收益与商务建议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预算口径：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以下为会前估算区间，假设复用现有OA/PLM/ERP、服务器资源，以及目标六和目标七已经形成的可复用技术资产；不包含现有系统厂商重大接口改造、商业APS/CAM软件采购及大规模硬件。第2周审计和诊断完成后提交正式报价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8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费用项</w:t>
            </w:r>
          </w:p>
        </w:tc>
        <w:tc>
          <w:tcPr>
            <w:tcW w:type="dxa" w:w="201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90天试点估算</w:t>
            </w:r>
          </w:p>
        </w:tc>
        <w:tc>
          <w:tcPr>
            <w:tcW w:type="dxa" w:w="49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业务诊断与方案设计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5-10万元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流程走查、数据评估、目标设计、验收体系</w:t>
            </w:r>
          </w:p>
        </w:tc>
      </w:tr>
      <w:tr>
        <w:tc>
          <w:tcPr>
            <w:tcW w:type="dxa" w:w="28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计划单据自动化主线</w:t>
            </w:r>
          </w:p>
        </w:tc>
        <w:tc>
          <w:tcPr>
            <w:tcW w:type="dxa" w:w="20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15-30万元</w:t>
            </w:r>
          </w:p>
        </w:tc>
        <w:tc>
          <w:tcPr>
            <w:tcW w:type="dxa" w:w="496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接口/中间层、规则、ERP草稿、异常队列、审计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审批助手辅线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8-18万元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附件解析、摘要、预算/价格比对、风险提示</w:t>
            </w:r>
          </w:p>
        </w:tc>
      </w:tr>
      <w:tr>
        <w:tc>
          <w:tcPr>
            <w:tcW w:type="dxa" w:w="28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测试、安全、培训与上线</w:t>
            </w:r>
          </w:p>
        </w:tc>
        <w:tc>
          <w:tcPr>
            <w:tcW w:type="dxa" w:w="20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5-10万元</w:t>
            </w:r>
          </w:p>
        </w:tc>
        <w:tc>
          <w:tcPr>
            <w:tcW w:type="dxa" w:w="496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UAT、影子运行、监控、SOP和移交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现有目标六/七成果审计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2-5万元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确认业务收益、生产化水平、安全控制和可复用资产</w:t>
            </w:r>
          </w:p>
        </w:tc>
      </w:tr>
      <w:tr>
        <w:tc>
          <w:tcPr>
            <w:tcW w:type="dxa" w:w="28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基础设施与模型调用</w:t>
            </w:r>
          </w:p>
        </w:tc>
        <w:tc>
          <w:tcPr>
            <w:tcW w:type="dxa" w:w="20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1-6万元</w:t>
            </w:r>
          </w:p>
        </w:tc>
        <w:tc>
          <w:tcPr>
            <w:tcW w:type="dxa" w:w="496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优先复用现有基础设施，视部署方式和调用量而定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90天试点合计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36-79万元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用于立项预算预留；第2周依据复用程度校准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9.1 ROI计算方式</w:t>
      </w:r>
    </w:p>
    <w:p>
      <w:pPr>
        <w:spacing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年度直接收益 = 节省人工工时 × 综合人力成本 + 错单/漏单避免损失 + 审批风险避免损失 + 交付周期改善收益。</w:t>
      </w:r>
    </w:p>
    <w:p>
      <w:pPr>
        <w:spacing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试点ROI不建议只看“替代多少人”，还应看处理峰值能力、准确率、审计能力和交付周期。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03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基线采集方式</w:t>
            </w:r>
          </w:p>
        </w:tc>
        <w:tc>
          <w:tcPr>
            <w:tcW w:type="dxa" w:w="410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试点后计算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处理时长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抽取不少于30笔典型单据人工计时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人工基线与系统处理/复核时长对比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错单漏单率</w:t>
            </w:r>
          </w:p>
        </w:tc>
        <w:tc>
          <w:tcPr>
            <w:tcW w:type="dxa" w:w="403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统计近3-6个月异常记录</w:t>
            </w:r>
          </w:p>
        </w:tc>
        <w:tc>
          <w:tcPr>
            <w:tcW w:type="dxa" w:w="410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系统拦截、人工修改和最终错误数量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人工投入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记录岗位每周投入时间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节省小时数及释放到高价值工作的时间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稳定性</w:t>
            </w:r>
          </w:p>
        </w:tc>
        <w:tc>
          <w:tcPr>
            <w:tcW w:type="dxa" w:w="403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无现有基线则从试运行开始记录</w:t>
            </w:r>
          </w:p>
        </w:tc>
        <w:tc>
          <w:tcPr>
            <w:tcW w:type="dxa" w:w="410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成功率、重试率、故障恢复时长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十、验收标准与上线门槛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5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547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必须达到的门槛</w:t>
            </w:r>
          </w:p>
        </w:tc>
        <w:tc>
          <w:tcPr>
            <w:tcW w:type="dxa" w:w="280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证明材料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业务准确性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计划单据关键字段准确率≥99%；金额/数量类错误零容忍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影子运行对比报告、UAT记录</w:t>
            </w:r>
          </w:p>
        </w:tc>
      </w:tr>
      <w:tr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效率</w:t>
            </w:r>
          </w:p>
        </w:tc>
        <w:tc>
          <w:tcPr>
            <w:tcW w:type="dxa" w:w="547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典型单据端到端处理时长降低≥80%</w:t>
            </w:r>
          </w:p>
        </w:tc>
        <w:tc>
          <w:tcPr>
            <w:tcW w:type="dxa" w:w="280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上线前后计时数据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可控性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关键操作人工确认；失败可重试、可回滚；异常有负责人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SOP、异常队列、回滚演练</w:t>
            </w:r>
          </w:p>
        </w:tc>
      </w:tr>
      <w:tr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安全审计</w:t>
            </w:r>
          </w:p>
        </w:tc>
        <w:tc>
          <w:tcPr>
            <w:tcW w:type="dxa" w:w="547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权限最小化；所有输入输出与操作可追溯</w:t>
            </w:r>
          </w:p>
        </w:tc>
        <w:tc>
          <w:tcPr>
            <w:tcW w:type="dxa" w:w="280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权限矩阵、审计日志抽查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稳定性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连续5个工作日稳定运行；无P1/P2未解决缺陷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运行日报、缺陷报告</w:t>
            </w:r>
          </w:p>
        </w:tc>
      </w:tr>
      <w:tr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用户采用</w:t>
            </w:r>
          </w:p>
        </w:tc>
        <w:tc>
          <w:tcPr>
            <w:tcW w:type="dxa" w:w="547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试点用户培训覆盖100%；核心用户实际使用率≥80%</w:t>
            </w:r>
          </w:p>
        </w:tc>
        <w:tc>
          <w:tcPr>
            <w:tcW w:type="dxa" w:w="280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培训签到、使用日志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10.1 上线决策规则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准确率未达到门槛：继续影子运行，不进入正式提交。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发现批量错误或权限越权：立即暂停自动生成，回退到人工流程。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业务负责人未签署UAT：不得上线。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上线后两周内保留每日复盘，规则修改需版本化并通过回归测试。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十一、主要风险与应对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52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早期信号</w:t>
            </w:r>
          </w:p>
        </w:tc>
        <w:tc>
          <w:tcPr>
            <w:tcW w:type="dxa" w:w="432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应对措施</w:t>
            </w:r>
          </w:p>
        </w:tc>
        <w:tc>
          <w:tcPr>
            <w:tcW w:type="dxa" w:w="122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数据质量差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编码缺失、版本混乱、历史数据无法解释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缩小试点范围；建立主数据整改清单；规则先覆盖高频场景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业务负责人</w:t>
            </w:r>
          </w:p>
        </w:tc>
      </w:tr>
      <w:tr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系统接口受限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厂商不开放接口或费用高</w:t>
            </w:r>
          </w:p>
        </w:tc>
        <w:tc>
          <w:tcPr>
            <w:tcW w:type="dxa" w:w="43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先读数据+受控RPA验证；同步推动标准接口</w:t>
            </w:r>
          </w:p>
        </w:tc>
        <w:tc>
          <w:tcPr>
            <w:tcW w:type="dxa" w:w="122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IT负责人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AI结果不可靠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摘要遗漏、错误抽取、无依据提示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规则优先、来源引用、置信度阈值、人工复核、持续评测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AI负责人</w:t>
            </w:r>
          </w:p>
        </w:tc>
      </w:tr>
      <w:tr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业务不采用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用户绕开系统、持续手工处理</w:t>
            </w:r>
          </w:p>
        </w:tc>
        <w:tc>
          <w:tcPr>
            <w:tcW w:type="dxa" w:w="43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让业务参与设计；减少额外操作；以实际节省时间验收</w:t>
            </w:r>
          </w:p>
        </w:tc>
        <w:tc>
          <w:tcPr>
            <w:tcW w:type="dxa" w:w="122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产品负责人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范围持续扩张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新增需求挤占核心链路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设立需求池和变更审批；90天只保核心场景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项目经理</w:t>
            </w:r>
          </w:p>
        </w:tc>
      </w:tr>
      <w:tr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自动化影响生产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批量错误、重复单据、系统性能下降</w:t>
            </w:r>
          </w:p>
        </w:tc>
        <w:tc>
          <w:tcPr>
            <w:tcW w:type="dxa" w:w="43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幂等、限流、灰度、回滚、熔断、影子运行</w:t>
            </w:r>
          </w:p>
        </w:tc>
        <w:tc>
          <w:tcPr>
            <w:tcW w:type="dxa" w:w="122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架构/运维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十二、董事长现场汇报话术</w:t>
      </w: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12.1 建议的5分钟开场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7365D"/>
                <w:sz w:val="21"/>
              </w:rPr>
              <w:t>可直接照着说：</w:t>
            </w:r>
            <w:r>
              <w:rPr>
                <w:rFonts w:ascii="Arial" w:hAnsi="Arial" w:eastAsia="Microsoft YaHei"/>
                <w:b w:val="0"/>
                <w:color w:val="000000"/>
                <w:sz w:val="21"/>
              </w:rPr>
              <w:t>董事长，七个方向中，BOM物料查重和CNC智能编程已经完成建设，这是很好的基础。现在需要讲清两件事：第一，现有项目究竟产生了多少可量化收益；第二，剩余项目最难的不是模型，而是规则、数据、系统接口和责任边界。我的建议是先审计六、七的采用率、节省工时、经营收益和安全稳定性，并复用已有资产；同时用90天完成计划单据自动转化主线和审批助手辅线。首期让系统自动生成、业务人员确认，确保每一步可追溯、可回滚。90天后，用节省工时、减少错误、缩短周期和风险避免金额决定下一步推广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12.2 高频追问与回答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52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董事长可能追问</w:t>
            </w:r>
          </w:p>
        </w:tc>
        <w:tc>
          <w:tcPr>
            <w:tcW w:type="dxa" w:w="734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建议回答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最大的困难是什么？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不是模型能力，而是历史数据是否可信、业务规则是否统一、系统接口是否稳定，以及自动化出错后的责任和回退机制。首期必须用真实数据和影子运行把这些问题暴露并解决。</w:t>
            </w:r>
          </w:p>
        </w:tc>
      </w:tr>
      <w:tr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到底能产生多少收益？</w:t>
            </w:r>
          </w:p>
        </w:tc>
        <w:tc>
          <w:tcPr>
            <w:tcW w:type="dxa" w:w="73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没有单据量、人工工时、错误损失和现有项目运行数据时，直接承诺金额不可靠。建议两周建立财务认可的收益基线，90天用真实运行数据计算ROI；六、七已有项目应在周三先展示实际采用率和已产生收益。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节省工时是不是就能省人？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不应直接等同。短期收益主要是释放人员处理异常、供应商协调和交付保障；只有当工作量稳定减少且组织调整后，才能计入真实人力降本。</w:t>
            </w:r>
          </w:p>
        </w:tc>
      </w:tr>
      <w:tr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目标六和七已经做了，为什么还要审计？</w:t>
            </w:r>
          </w:p>
        </w:tc>
        <w:tc>
          <w:tcPr>
            <w:tcW w:type="dxa" w:w="73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建设完成不等于经营价值已经被证明。审计是为了量化采用率、收益、稳定性和安全性，同时识别可以复用到其他项目的模型、知识库、接口和团队能力。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剩余五个为什么不能一起做？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五个项目的前置条件不同，同时做会把资源分散在数据和接口问题上。先跑通一条链路，并复用六、七已有资产，后续推进会更快。</w:t>
            </w:r>
          </w:p>
        </w:tc>
      </w:tr>
      <w:tr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90天能做到什么程度？</w:t>
            </w:r>
          </w:p>
        </w:tc>
        <w:tc>
          <w:tcPr>
            <w:tcW w:type="dxa" w:w="73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能做到真实业务小范围运行：系统自动生成ERP草稿、人员确认提交；审批助手生成摘要和风险提示。不是演示，而是有日志、有验收指标的业务闭环。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能不能完全替代人工？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首期不建议。先让系统承担机械工作，让人承担判断和责任；准确率和稳定性持续达标后，再逐步提高自动化等级。</w:t>
            </w:r>
          </w:p>
        </w:tc>
      </w:tr>
      <w:tr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预算多少？</w:t>
            </w:r>
          </w:p>
        </w:tc>
        <w:tc>
          <w:tcPr>
            <w:tcW w:type="dxa" w:w="73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建议预留36-79万元做90天试点，其中包含对目标六和七的成果审计。两周确认现有资产复用程度和接口条件后，再提交固定范围与正式预算。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为什么排程不能马上做？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排程依赖准确工时、库存、物料齐套和设备日历。基础数据不准时，算法越快，错误越快。应先完成数据诊断，再用专业优化算法做。</w:t>
            </w:r>
          </w:p>
        </w:tc>
      </w:tr>
      <w:tr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CNC已经做了，下一步是什么？</w:t>
            </w:r>
          </w:p>
        </w:tc>
        <w:tc>
          <w:tcPr>
            <w:tcW w:type="dxa" w:w="73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下一步是量化覆盖率、节省工时和仿真/试切通过率，复核安全门禁，并在安全指标持续达标后逐步扩大机型与零件覆盖范围。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怎么防止项目失败？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按两周诊断、影子运行、小范围试用和量化验收分阶段设决策门；每一阶段不达标就调整或停止，不一次性投入全部预算。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十三、会前准备与会议议程</w:t>
      </w: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13.1 周三前需要准备的材料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45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201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负责人建议</w:t>
            </w:r>
          </w:p>
        </w:tc>
        <w:tc>
          <w:tcPr>
            <w:tcW w:type="dxa" w:w="43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最低要求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一份真实计划申请单 + 对应PLM BOM + ERP录入结果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计划部/IT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脱敏后可现场展示完整链路</w:t>
            </w:r>
          </w:p>
        </w:tc>
      </w:tr>
      <w:tr>
        <w:tc>
          <w:tcPr>
            <w:tcW w:type="dxa" w:w="34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一份合同或采购审批案例</w:t>
            </w:r>
          </w:p>
        </w:tc>
        <w:tc>
          <w:tcPr>
            <w:tcW w:type="dxa" w:w="20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采购/财务</w:t>
            </w:r>
          </w:p>
        </w:tc>
        <w:tc>
          <w:tcPr>
            <w:tcW w:type="dxa" w:w="43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包含附件、预算和历史价格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现状工作量数据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计划部/人力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每周单据量、平均时长、错单漏单案例</w:t>
            </w:r>
          </w:p>
        </w:tc>
      </w:tr>
      <w:tr>
        <w:tc>
          <w:tcPr>
            <w:tcW w:type="dxa" w:w="34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系统与厂商情况</w:t>
            </w:r>
          </w:p>
        </w:tc>
        <w:tc>
          <w:tcPr>
            <w:tcW w:type="dxa" w:w="20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IT</w:t>
            </w:r>
          </w:p>
        </w:tc>
        <w:tc>
          <w:tcPr>
            <w:tcW w:type="dxa" w:w="43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OA/PLM/ERP版本、接口能力、测试环境情况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目标六、七成果数据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设计部/工艺部/车间/IT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系统架构、使用日志、覆盖范围、准确率、节省工时、异常和安全记录</w:t>
            </w:r>
          </w:p>
        </w:tc>
      </w:tr>
      <w:tr>
        <w:tc>
          <w:tcPr>
            <w:tcW w:type="dxa" w:w="34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组织建议名单</w:t>
            </w:r>
          </w:p>
        </w:tc>
        <w:tc>
          <w:tcPr>
            <w:tcW w:type="dxa" w:w="20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管理层</w:t>
            </w:r>
          </w:p>
        </w:tc>
        <w:tc>
          <w:tcPr>
            <w:tcW w:type="dxa" w:w="43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Sponsor、业务负责人、IT负责人和核心用户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13.2 建议会议议程（60分钟）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75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议题</w:t>
            </w:r>
          </w:p>
        </w:tc>
        <w:tc>
          <w:tcPr>
            <w:tcW w:type="dxa" w:w="33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0-10分钟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确认董事长最关注的经营问题和七项目标优先级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明确价值排序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10-25分钟</w:t>
            </w:r>
          </w:p>
        </w:tc>
        <w:tc>
          <w:tcPr>
            <w:tcW w:type="dxa" w:w="475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汇报三阶段路线图和90天试点方案</w:t>
            </w:r>
          </w:p>
        </w:tc>
        <w:tc>
          <w:tcPr>
            <w:tcW w:type="dxa" w:w="33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确认首期范围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25-40分钟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用真实单据走查首期流程与验收指标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确认业务可行性</w:t>
            </w:r>
          </w:p>
        </w:tc>
      </w:tr>
      <w:tr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40-50分钟</w:t>
            </w:r>
          </w:p>
        </w:tc>
        <w:tc>
          <w:tcPr>
            <w:tcW w:type="dxa" w:w="475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讨论组织、权限、预算和主要风险</w:t>
            </w:r>
          </w:p>
        </w:tc>
        <w:tc>
          <w:tcPr>
            <w:tcW w:type="dxa" w:w="33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解决启动条件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50-60分钟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形成决策与下一步安排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确定Sponsor、负责人和启动日期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E74B5"/>
          <w:sz w:val="26"/>
        </w:rPr>
        <w:t>13.3 会后48小时内动作</w:t>
      </w:r>
    </w:p>
    <w:p>
      <w:pPr>
        <w:pStyle w:val="ListNumber"/>
        <w:spacing w:after="80"/>
        <w:ind w:left="403" w:hanging="216"/>
      </w:pPr>
      <w:r>
        <w:rPr>
          <w:rFonts w:ascii="Arial" w:hAnsi="Arial" w:eastAsia="Microsoft YaHei"/>
          <w:b w:val="0"/>
          <w:color w:val="000000"/>
          <w:sz w:val="20"/>
        </w:rPr>
        <w:t>发布会议纪要，明确董事长决策、项目范围、Sponsor与业务负责人。</w:t>
      </w:r>
    </w:p>
    <w:p>
      <w:pPr>
        <w:pStyle w:val="ListNumber"/>
        <w:spacing w:after="80"/>
        <w:ind w:left="403" w:hanging="216"/>
      </w:pPr>
      <w:r>
        <w:rPr>
          <w:rFonts w:ascii="Arial" w:hAnsi="Arial" w:eastAsia="Microsoft YaHei"/>
          <w:b w:val="0"/>
          <w:color w:val="000000"/>
          <w:sz w:val="20"/>
        </w:rPr>
        <w:t>发出数据、接口、测试环境和样本材料清单。</w:t>
      </w:r>
    </w:p>
    <w:p>
      <w:pPr>
        <w:pStyle w:val="ListNumber"/>
        <w:spacing w:after="80"/>
        <w:ind w:left="403" w:hanging="216"/>
      </w:pPr>
      <w:r>
        <w:rPr>
          <w:rFonts w:ascii="Arial" w:hAnsi="Arial" w:eastAsia="Microsoft YaHei"/>
          <w:b w:val="0"/>
          <w:color w:val="000000"/>
          <w:sz w:val="20"/>
        </w:rPr>
        <w:t>安排W1启动会和W1-W2业务访谈日程。</w:t>
      </w:r>
    </w:p>
    <w:p>
      <w:pPr>
        <w:pStyle w:val="ListNumber"/>
        <w:spacing w:after="80"/>
        <w:ind w:left="403" w:hanging="216"/>
      </w:pPr>
      <w:r>
        <w:rPr>
          <w:rFonts w:ascii="Arial" w:hAnsi="Arial" w:eastAsia="Microsoft YaHei"/>
          <w:b w:val="0"/>
          <w:color w:val="000000"/>
          <w:sz w:val="20"/>
        </w:rPr>
        <w:t>建立问题、风险、需求和决策四本台账。</w:t>
      </w:r>
    </w:p>
    <w:p>
      <w:pPr>
        <w:pStyle w:val="ListNumber"/>
        <w:spacing w:after="80"/>
        <w:ind w:left="403" w:hanging="216"/>
      </w:pPr>
      <w:r>
        <w:rPr>
          <w:rFonts w:ascii="Arial" w:hAnsi="Arial" w:eastAsia="Microsoft YaHei"/>
          <w:b w:val="0"/>
          <w:color w:val="000000"/>
          <w:sz w:val="20"/>
        </w:rPr>
        <w:t>在第2周末提交诊断报告、校准后的预算、范围和Go/No-Go建议。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附录A：首期启动所需资料清单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65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32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资料</w:t>
            </w:r>
          </w:p>
        </w:tc>
        <w:tc>
          <w:tcPr>
            <w:tcW w:type="dxa" w:w="388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业务流程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现行SOP、审批节点、异常处理、岗位分工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确认流程边界与责任</w:t>
            </w:r>
          </w:p>
        </w:tc>
      </w:tr>
      <w:tr>
        <w:tc>
          <w:tcPr>
            <w:tcW w:type="dxa" w:w="16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样本数据</w:t>
            </w:r>
          </w:p>
        </w:tc>
        <w:tc>
          <w:tcPr>
            <w:tcW w:type="dxa" w:w="43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100-300笔计划申请、BOM、ERP结果及异常案例</w:t>
            </w:r>
          </w:p>
        </w:tc>
        <w:tc>
          <w:tcPr>
            <w:tcW w:type="dxa" w:w="388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字段映射、规则开发和评测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主数据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物料、项目、供应商、单位、组织、版本字典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校验与匹配</w:t>
            </w:r>
          </w:p>
        </w:tc>
      </w:tr>
      <w:tr>
        <w:tc>
          <w:tcPr>
            <w:tcW w:type="dxa" w:w="16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系统资料</w:t>
            </w:r>
          </w:p>
        </w:tc>
        <w:tc>
          <w:tcPr>
            <w:tcW w:type="dxa" w:w="43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版本、接口文档、数据库字典、测试账号、网络限制</w:t>
            </w:r>
          </w:p>
        </w:tc>
        <w:tc>
          <w:tcPr>
            <w:tcW w:type="dxa" w:w="388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技术可行性和工作量评估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经营基线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单据量、处理时长、错单漏单、返工和延期案例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ROI与验收</w:t>
            </w:r>
          </w:p>
        </w:tc>
      </w:tr>
      <w:tr>
        <w:tc>
          <w:tcPr>
            <w:tcW w:type="dxa" w:w="16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安全要求</w:t>
            </w:r>
          </w:p>
        </w:tc>
        <w:tc>
          <w:tcPr>
            <w:tcW w:type="dxa" w:w="43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数据分级、账号权限、日志留存、外部模型限制</w:t>
            </w:r>
          </w:p>
        </w:tc>
        <w:tc>
          <w:tcPr>
            <w:tcW w:type="dxa" w:w="388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设计安全边界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17365D"/>
          <w:sz w:val="32"/>
        </w:rPr>
        <w:t>附录B：诊断阶段访谈问题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每类单据的正常路径和前三类异常路径分别是什么？谁有权决定例外？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哪些字段来自OA，哪些来自PLM，哪些必须在ERP中补录？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当前错单、漏单、重复单最常见的原因是什么？造成过哪些实际损失？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ERP是否提供标准API、批量导入或中间表？厂商配合成本和周期如何？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哪些业务动作必须人工确认？哪些条件满足后可以提高自动化等级？</w:t>
      </w:r>
    </w:p>
    <w:p>
      <w:pPr>
        <w:pStyle w:val="ListBullet"/>
        <w:spacing w:after="60" w:line="276" w:lineRule="auto"/>
        <w:ind w:left="360" w:hanging="173"/>
      </w:pPr>
      <w:r>
        <w:rPr>
          <w:rFonts w:ascii="Arial" w:hAnsi="Arial" w:eastAsia="Microsoft YaHei"/>
          <w:b w:val="0"/>
          <w:color w:val="000000"/>
          <w:sz w:val="20"/>
        </w:rPr>
        <w:t>如何界定成功：节省时间、减少错误、降低库存、改善交付还是降低风险？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color w:val="666666"/>
        <w:sz w:val="17"/>
      </w:rPr>
      <w:t>三丰智能 AI 落地执行方案 | 董事长汇报版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三丰智能AI落地执行方案-董事长汇报版</dc:title>
  <dc:subject>90天试点与三阶段路线图</dc:subject>
  <dc:creator>项目方案组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