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rial" w:hAnsi="Arial" w:eastAsia="Microsoft YaHei"/>
          <w:b/>
          <w:color w:val="2E74B5"/>
          <w:sz w:val="30"/>
        </w:rPr>
        <w:t>三丰智能 AI</w:t>
      </w:r>
    </w:p>
    <w:p>
      <w:pPr>
        <w:jc w:val="center"/>
      </w:pPr>
      <w:r>
        <w:rPr>
          <w:rFonts w:ascii="Arial" w:hAnsi="Arial" w:eastAsia="Microsoft YaHei"/>
          <w:b/>
          <w:color w:val="17365D"/>
          <w:sz w:val="50"/>
        </w:rPr>
        <w:t>MVP 价值增长与长期合作策略</w:t>
      </w:r>
    </w:p>
    <w:p>
      <w:pPr>
        <w:spacing w:after="360" w:line="276" w:lineRule="auto"/>
        <w:jc w:val="center"/>
      </w:pPr>
      <w:r>
        <w:rPr>
          <w:rFonts w:ascii="Arial" w:hAnsi="Arial" w:eastAsia="Microsoft YaHei"/>
          <w:b w:val="0"/>
          <w:color w:val="666666"/>
          <w:sz w:val="26"/>
        </w:rPr>
        <w:t>从单点价值验证，到持续经营改善与双方合理收益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核心结论：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MVP 不是后续项目的销售入口，而是双方共同经营 AI 价值的起点。它必须进入真实流程、持续产生运行数据，并用数据决定下一笔投资投向哪里。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一、为什么普通 MVP 无法形成长期合作</w:t>
      </w:r>
    </w:p>
    <w:p>
      <w:pPr>
        <w:spacing w:after="140" w:line="283" w:lineRule="auto"/>
      </w:pPr>
      <w:r>
        <w:rPr>
          <w:rFonts w:ascii="Arial" w:hAnsi="Arial" w:eastAsia="Microsoft YaHei"/>
          <w:b/>
          <w:color w:val="17365D"/>
          <w:sz w:val="21"/>
        </w:rPr>
        <w:t>普通 MVP 的问题是只证明“功能能不能做”。</w:t>
      </w:r>
      <w:r>
        <w:rPr>
          <w:rFonts w:ascii="Arial" w:hAnsi="Arial" w:eastAsia="Microsoft YaHei"/>
          <w:b w:val="0"/>
          <w:color w:val="000000"/>
          <w:sz w:val="21"/>
        </w:rPr>
        <w:t>如果项目结束时只展示自动转单、文档识别或一个看板，客户仍然无法判断这些功能能产生多少经营价值，也没有充分理由继续投入。供应商只能不断介绍更多功能，容易变成项目清单式销售。</w:t>
      </w:r>
    </w:p>
    <w:p>
      <w:pPr>
        <w:spacing w:after="140" w:line="283" w:lineRule="auto"/>
      </w:pPr>
      <w:r>
        <w:rPr>
          <w:rFonts w:ascii="Arial" w:hAnsi="Arial" w:eastAsia="Microsoft YaHei"/>
          <w:b/>
          <w:color w:val="17365D"/>
          <w:sz w:val="21"/>
        </w:rPr>
        <w:t>真正有价值的 MVP 必须证明“经营问题能不能持续改善”。</w:t>
      </w:r>
      <w:r>
        <w:rPr>
          <w:rFonts w:ascii="Arial" w:hAnsi="Arial" w:eastAsia="Microsoft YaHei"/>
          <w:b w:val="0"/>
          <w:color w:val="000000"/>
          <w:sz w:val="21"/>
        </w:rPr>
        <w:t>它不仅需要完成一条真实业务闭环，还要记录剩余人工工作的原因、异常产生的位置以及下一阶段最值得解决的问题。后续合作应由运行数据推动，而不是由供应商推销推动。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二、MVP 真正需要建立的三个入口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关键入口</w:t>
            </w:r>
          </w:p>
        </w:tc>
        <w:tc>
          <w:tcPr>
            <w:tcW w:type="dxa" w:w="388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MVP 中如何建立</w:t>
            </w:r>
          </w:p>
        </w:tc>
        <w:tc>
          <w:tcPr>
            <w:tcW w:type="dxa" w:w="367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长期价值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业务规则入口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记录拆单、替代料、异常处理、优先级及人工修改原因，将个人经验转成规则资产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采购、工艺、排程等后续场景能够直接复用</w:t>
            </w:r>
          </w:p>
        </w:tc>
      </w:tr>
      <w:tr>
        <w:tc>
          <w:tcPr>
            <w:tcW w:type="dxa" w:w="19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跨系统数据入口</w:t>
            </w:r>
          </w:p>
        </w:tc>
        <w:tc>
          <w:tcPr>
            <w:tcW w:type="dxa" w:w="388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形成 OA/PLM → 规则判断 → ERP → 人工反馈的可运行链路</w:t>
            </w:r>
          </w:p>
        </w:tc>
        <w:tc>
          <w:tcPr>
            <w:tcW w:type="dxa" w:w="367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后续项目不必重复建设身份、接口、日志和异常处理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经营价值测量入口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持续统计效率、异常、人工调整和数据质量，形成管理层价值看板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用真实数据决定下一笔预算投向哪里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健康的客户绑定：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不是让三丰在技术上无法更换供应商，而是让持续合作比重新建设更经济、更快、更容易获得经营收益。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三、MVP 如何自然带出后续诉求</w:t>
      </w:r>
    </w:p>
    <w:p>
      <w:pPr>
        <w:spacing w:after="140" w:line="283" w:lineRule="auto"/>
      </w:pPr>
      <w:r>
        <w:rPr>
          <w:rFonts w:ascii="Arial" w:hAnsi="Arial" w:eastAsia="Microsoft YaHei"/>
          <w:b/>
          <w:color w:val="17365D"/>
          <w:sz w:val="21"/>
        </w:rPr>
        <w:t>关键不是告诉客户“我们还能做六个项目”。</w:t>
      </w:r>
      <w:r>
        <w:rPr>
          <w:rFonts w:ascii="Arial" w:hAnsi="Arial" w:eastAsia="Microsoft YaHei"/>
          <w:b w:val="0"/>
          <w:color w:val="000000"/>
          <w:sz w:val="21"/>
        </w:rPr>
        <w:t>MVP 应通过人工修改、异常处理和运行效果，找出阻碍进一步提效的主要因素，再根据投资回报建议下一阶段项目。</w:t>
      </w:r>
    </w:p>
    <w:p>
      <w:pPr>
        <w:spacing w:after="120" w:line="276" w:lineRule="auto"/>
      </w:pPr>
      <w:r>
        <w:rPr>
          <w:rFonts w:ascii="Arial" w:hAnsi="Arial" w:eastAsia="Microsoft YaHei"/>
          <w:b/>
          <w:color w:val="17365D"/>
          <w:sz w:val="21"/>
        </w:rPr>
        <w:t>示例：MVP 自动化率只能达到 65%，系统分析剩余人工处理原因：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4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运行数据发现</w:t>
            </w:r>
          </w:p>
        </w:tc>
        <w:tc>
          <w:tcPr>
            <w:tcW w:type="dxa" w:w="324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经营判断</w:t>
            </w:r>
          </w:p>
        </w:tc>
        <w:tc>
          <w:tcPr>
            <w:tcW w:type="dxa" w:w="302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下一阶段投资建议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35% 的人工修改来自物料重复、替代关系不清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物料主数据和替代规则限制了自动化率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优化目标六，降低重复物料并提高自动化率</w:t>
            </w:r>
          </w:p>
        </w:tc>
      </w:tr>
      <w:tr>
        <w:tc>
          <w:tcPr>
            <w:tcW w:type="dxa" w:w="324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25% 来自工艺和工时数据不准确</w:t>
            </w:r>
          </w:p>
        </w:tc>
        <w:tc>
          <w:tcPr>
            <w:tcW w:type="dxa" w:w="324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计划和成本判断仍依赖个人经验</w:t>
            </w:r>
          </w:p>
        </w:tc>
        <w:tc>
          <w:tcPr>
            <w:tcW w:type="dxa" w:w="302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推进目标二，沉淀工艺与工时能力</w:t>
            </w:r>
          </w:p>
        </w:tc>
      </w:tr>
      <w:t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20% 来自库存和采购状态不可信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采购与计划数据断点影响业务执行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推进目标一，建设三单匹配和采购预警</w:t>
            </w:r>
          </w:p>
        </w:tc>
      </w:tr>
      <w:tr>
        <w:tc>
          <w:tcPr>
            <w:tcW w:type="dxa" w:w="324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15% 来自插单和生产优先级变化</w:t>
            </w:r>
          </w:p>
        </w:tc>
        <w:tc>
          <w:tcPr>
            <w:tcW w:type="dxa" w:w="324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计划生成后仍需要大量人工协调</w:t>
            </w:r>
          </w:p>
        </w:tc>
        <w:tc>
          <w:tcPr>
            <w:tcW w:type="dxa" w:w="302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评估目标三排程与缺料预警准备度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投资逻辑：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客户购买后续项目，是为了继续释放已经被运行数据证明的价值，而不是因为我们列出了更多 AI 功能。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四、双方共赢的价值增长飞轮</w:t>
      </w:r>
    </w:p>
    <w:p>
      <w:pPr>
        <w:spacing w:after="120" w:line="276" w:lineRule="auto"/>
      </w:pPr>
      <w:r>
        <w:rPr>
          <w:rFonts w:ascii="Arial" w:hAnsi="Arial" w:eastAsia="Microsoft YaHei"/>
          <w:b/>
          <w:color w:val="17365D"/>
          <w:sz w:val="21"/>
        </w:rPr>
        <w:t>真实流程中的价值增长机制：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81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三丰获得的价值</w:t>
            </w:r>
          </w:p>
        </w:tc>
        <w:tc>
          <w:tcPr>
            <w:tcW w:type="dxa" w:w="345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我们获得的价值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1. MVP 进入真实流程</w:t>
            </w:r>
          </w:p>
        </w:tc>
        <w:tc>
          <w:tcPr>
            <w:tcW w:type="dxa" w:w="38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以可控投入验证 AI 是否真正有效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获得首个业务交付和客户理解</w:t>
            </w:r>
          </w:p>
        </w:tc>
      </w:tr>
      <w:tr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2. 产生效率收益与运行数据</w:t>
            </w:r>
          </w:p>
        </w:tc>
        <w:tc>
          <w:tcPr>
            <w:tcW w:type="dxa" w:w="381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看到节省工时、减少错误和风险拦截</w:t>
            </w:r>
          </w:p>
        </w:tc>
        <w:tc>
          <w:tcPr>
            <w:tcW w:type="dxa" w:w="34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形成可证明的项目成果和后续依据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3. 发现进一步提效的核心问题</w:t>
            </w:r>
          </w:p>
        </w:tc>
        <w:tc>
          <w:tcPr>
            <w:tcW w:type="dxa" w:w="38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知道下一笔预算投在哪里回报最高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从功能供应商转为经营改善伙伴</w:t>
            </w:r>
          </w:p>
        </w:tc>
      </w:tr>
      <w:tr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4. 按 ROI 实施下一项目</w:t>
            </w:r>
          </w:p>
        </w:tc>
        <w:tc>
          <w:tcPr>
            <w:tcW w:type="dxa" w:w="381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每笔投资均有数据与收益依据</w:t>
            </w:r>
          </w:p>
        </w:tc>
        <w:tc>
          <w:tcPr>
            <w:tcW w:type="dxa" w:w="34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获得生产级扩展及新场景收入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5. 复用数据、规则与接口</w:t>
            </w:r>
          </w:p>
        </w:tc>
        <w:tc>
          <w:tcPr>
            <w:tcW w:type="dxa" w:w="38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后续项目单位建设成本降低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边际交付成本下降，毛利率提高</w:t>
            </w:r>
          </w:p>
        </w:tc>
      </w:tr>
      <w:tr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6. 持续运营与价值复盘</w:t>
            </w:r>
          </w:p>
        </w:tc>
        <w:tc>
          <w:tcPr>
            <w:tcW w:type="dxa" w:w="381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收益持续兑现，避免系统闲置</w:t>
            </w:r>
          </w:p>
        </w:tc>
        <w:tc>
          <w:tcPr>
            <w:tcW w:type="dxa" w:w="34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获得稳定运营收入和长期合作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五、商业模式如何设计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5.1 第一笔钱：购买价值证明</w:t>
      </w:r>
    </w:p>
    <w:p>
      <w:pPr>
        <w:spacing w:after="140" w:line="283" w:lineRule="auto"/>
      </w:pPr>
      <w:r>
        <w:rPr>
          <w:rFonts w:ascii="Arial" w:hAnsi="Arial" w:eastAsia="Microsoft YaHei"/>
          <w:b/>
          <w:color w:val="17365D"/>
          <w:sz w:val="21"/>
        </w:rPr>
        <w:t>MVP 不是按开发人天出售。</w:t>
      </w:r>
      <w:r>
        <w:rPr>
          <w:rFonts w:ascii="Arial" w:hAnsi="Arial" w:eastAsia="Microsoft YaHei"/>
          <w:b w:val="0"/>
          <w:color w:val="000000"/>
          <w:sz w:val="21"/>
        </w:rPr>
        <w:t>客户购买的是一个真实运行的业务闭环、一套能够证明收益的价值看板，以及一份基于运行数据的下一阶段投资建议。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7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MVP 范围</w:t>
            </w:r>
          </w:p>
        </w:tc>
        <w:tc>
          <w:tcPr>
            <w:tcW w:type="dxa" w:w="72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一个部门、一类计划单、一条 PLM/OA 到 ERP 草稿业务链路</w:t>
            </w:r>
          </w:p>
        </w:tc>
      </w:tr>
      <w:tr>
        <w:tc>
          <w:tcPr>
            <w:tcW w:type="dxa" w:w="208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周期</w:t>
            </w:r>
          </w:p>
        </w:tc>
        <w:tc>
          <w:tcPr>
            <w:tcW w:type="dxa" w:w="727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6-8 周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建议报价</w:t>
            </w:r>
          </w:p>
        </w:tc>
        <w:tc>
          <w:tcPr>
            <w:tcW w:type="dxa" w:w="72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58 万元</w:t>
            </w:r>
          </w:p>
        </w:tc>
      </w:tr>
      <w:tr>
        <w:tc>
          <w:tcPr>
            <w:tcW w:type="dxa" w:w="208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验收重点</w:t>
            </w:r>
          </w:p>
        </w:tc>
        <w:tc>
          <w:tcPr>
            <w:tcW w:type="dxa" w:w="727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关键字段准确率、生成成功率、处理时间下降、异常拦截和业务用户认可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核心交付</w:t>
            </w:r>
          </w:p>
        </w:tc>
        <w:tc>
          <w:tcPr>
            <w:tcW w:type="dxa" w:w="72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可运行 MVP、价值看板、问题清单、ROI 评估和生产级扩展路线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5.2 第二笔钱：购买价值放大</w:t>
      </w:r>
    </w:p>
    <w:p>
      <w:pPr>
        <w:spacing w:after="140" w:line="283" w:lineRule="auto"/>
      </w:pPr>
      <w:r>
        <w:rPr>
          <w:rFonts w:ascii="Arial" w:hAnsi="Arial" w:eastAsia="Microsoft YaHei"/>
          <w:b/>
          <w:color w:val="17365D"/>
          <w:sz w:val="21"/>
        </w:rPr>
        <w:t>生产级扩展不是简单增加功能。</w:t>
      </w:r>
      <w:r>
        <w:rPr>
          <w:rFonts w:ascii="Arial" w:hAnsi="Arial" w:eastAsia="Microsoft YaHei"/>
          <w:b w:val="0"/>
          <w:color w:val="000000"/>
          <w:sz w:val="21"/>
        </w:rPr>
        <w:t>它要扩大业务覆盖、提高自动化率、减少人工调整、完善安全与审计，并优先解决 MVP 已经证明的主要效率瓶颈。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7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8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生产级扩展服务费</w:t>
            </w:r>
          </w:p>
        </w:tc>
        <w:tc>
          <w:tcPr>
            <w:tcW w:type="dxa" w:w="69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100-140 万元</w:t>
            </w:r>
          </w:p>
        </w:tc>
      </w:tr>
      <w:tr>
        <w:tc>
          <w:tcPr>
            <w:tcW w:type="dxa" w:w="237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MVP 抵扣机制</w:t>
            </w:r>
          </w:p>
        </w:tc>
        <w:tc>
          <w:tcPr>
            <w:tcW w:type="dxa" w:w="698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MVP 验收后约定期限内签约，可抵扣 10-20 万元；不全部抵扣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扩展原则</w:t>
            </w:r>
          </w:p>
        </w:tc>
        <w:tc>
          <w:tcPr>
            <w:tcW w:type="dxa" w:w="69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按新增业务价值收费，不重复收取已建设底座的完整费用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5.3 后续收入：按增量价值决策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后续项目</w:t>
            </w:r>
          </w:p>
        </w:tc>
        <w:tc>
          <w:tcPr>
            <w:tcW w:type="dxa" w:w="403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客户为什么愿意购买</w:t>
            </w:r>
          </w:p>
        </w:tc>
        <w:tc>
          <w:tcPr>
            <w:tcW w:type="dxa" w:w="316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我们的利润来源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物料与工艺优化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提高自动化率、降低库存、改善成本准确性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复用知识库和规则框架，降低交付成本</w:t>
            </w:r>
          </w:p>
        </w:tc>
      </w:tr>
      <w:tr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采购与审批扩展</w:t>
            </w:r>
          </w:p>
        </w:tc>
        <w:tc>
          <w:tcPr>
            <w:tcW w:type="dxa" w:w="40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减少核对工时和经营风险</w:t>
            </w:r>
          </w:p>
        </w:tc>
        <w:tc>
          <w:tcPr>
            <w:tcW w:type="dxa" w:w="316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复用系统接口、文档解析和审计能力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排程与车间闭环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改善交期、设备利用率和质量反馈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收取高价值专业实施与优化费用</w:t>
            </w:r>
          </w:p>
        </w:tc>
      </w:tr>
      <w:tr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持续运营服务</w:t>
            </w:r>
          </w:p>
        </w:tc>
        <w:tc>
          <w:tcPr>
            <w:tcW w:type="dxa" w:w="40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保证收益持续兑现，持续发现改善机会</w:t>
            </w:r>
          </w:p>
        </w:tc>
        <w:tc>
          <w:tcPr>
            <w:tcW w:type="dxa" w:w="316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获得稳定年度服务收入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六、利润保护与共赢边界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367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对三丰的保护</w:t>
            </w:r>
          </w:p>
        </w:tc>
        <w:tc>
          <w:tcPr>
            <w:tcW w:type="dxa" w:w="352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对我们的保护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范围与价格绑定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清楚知道每笔预算购买什么结果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不以 MVP 价格承担生产级责任</w:t>
            </w:r>
          </w:p>
        </w:tc>
      </w:tr>
      <w:tr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阶段验收与决策门</w:t>
            </w:r>
          </w:p>
        </w:tc>
        <w:tc>
          <w:tcPr>
            <w:tcW w:type="dxa" w:w="367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前一阶段不达标，可不继续投入</w:t>
            </w:r>
          </w:p>
        </w:tc>
        <w:tc>
          <w:tcPr>
            <w:tcW w:type="dxa" w:w="352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每阶段形成独立交付和回款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复用优惠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后续项目单位建设成本下降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复用组件带来更高毛利率</w:t>
            </w:r>
          </w:p>
        </w:tc>
      </w:tr>
      <w:tr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基础服务费 + 成果奖励</w:t>
            </w:r>
          </w:p>
        </w:tc>
        <w:tc>
          <w:tcPr>
            <w:tcW w:type="dxa" w:w="367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只有收益达标才支付额外奖励</w:t>
            </w:r>
          </w:p>
        </w:tc>
        <w:tc>
          <w:tcPr>
            <w:tcW w:type="dxa" w:w="352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基础费用保障成本，成果奖励分享价值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范围外变更机制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新增需求价格和工期透明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避免需求扩张侵蚀利润</w:t>
            </w:r>
          </w:p>
        </w:tc>
      </w:tr>
    </w:tbl>
    <w:p>
      <w:pPr>
        <w:spacing w:after="20"/>
      </w:pPr>
    </w:p>
    <w:p>
      <w:pPr>
        <w:pStyle w:val="ListBullet"/>
        <w:spacing w:after="8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第三方接口、硬件、云资源、大规模数据清洗和范围外需求单独报价。</w:t>
      </w:r>
    </w:p>
    <w:p>
      <w:pPr>
        <w:pStyle w:val="ListBullet"/>
        <w:spacing w:after="8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我们承诺系统交付、准确率、稳定性和价值测量机制，不单方面承诺无法控制的经营结果。</w:t>
      </w:r>
    </w:p>
    <w:p>
      <w:pPr>
        <w:pStyle w:val="ListBullet"/>
        <w:spacing w:after="8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后续合作依赖持续创造可量化价值，而不是依赖封闭系统或人为制造技术依赖。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七、建议成交路径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4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建议价格</w:t>
            </w:r>
          </w:p>
        </w:tc>
        <w:tc>
          <w:tcPr>
            <w:tcW w:type="dxa" w:w="525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核心目标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单场景 MVP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58 万元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证明真实价值，建立三个入口，形成下一阶段投资依据</w:t>
            </w:r>
          </w:p>
        </w:tc>
      </w:tr>
      <w:tr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生产级扩展</w:t>
            </w:r>
          </w:p>
        </w:tc>
        <w:tc>
          <w:tcPr>
            <w:tcW w:type="dxa" w:w="19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100-140 万元</w:t>
            </w:r>
          </w:p>
        </w:tc>
        <w:tc>
          <w:tcPr>
            <w:tcW w:type="dxa" w:w="52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放大已验证价值，扩大覆盖并完善生产级控制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后续模块实施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按模块报价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根据运行数据和 ROI 逐项解决主要效率瓶颈</w:t>
            </w:r>
          </w:p>
        </w:tc>
      </w:tr>
      <w:tr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运营优化服务</w:t>
            </w:r>
          </w:p>
        </w:tc>
        <w:tc>
          <w:tcPr>
            <w:tcW w:type="dxa" w:w="19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30-45 万元/年</w:t>
            </w:r>
          </w:p>
        </w:tc>
        <w:tc>
          <w:tcPr>
            <w:tcW w:type="dxa" w:w="52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季度价值复盘、规则优化和新增场景排序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八、向董事长的建议表达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汇报话术：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董事长，我们不希望做完一个 MVP 后，再向三丰推销一批孤立功能。MVP 真正要建立的是一套持续改善机制：系统进入真实业务后，一方面产生效率收益，另一方面记录哪些问题仍然需要人工处理。我们再根据这些真实数据，判断下一笔投资应当解决物料、工艺、采购还是排程问题。对三丰而言，每个后续项目都有运行数据和投资回报作为依据，不需要盲目投入；对我们而言，后续项目可以复用已经建设的数据、接口和规则能力，从而降低交付成本并获得合理利润。双方长期合作的基础，不是三丰离不开我们的系统，而是我们能够持续帮助三丰发现并实现新的经营价值。</w:t>
            </w:r>
          </w:p>
        </w:tc>
      </w:tr>
    </w:tbl>
    <w:p>
      <w:pPr>
        <w:spacing w:after="20"/>
      </w:pPr>
    </w:p>
    <w:p>
      <w:pPr>
        <w:spacing w:after="160" w:line="276" w:lineRule="auto"/>
        <w:jc w:val="center"/>
      </w:pPr>
      <w:r>
        <w:rPr>
          <w:rFonts w:ascii="Arial" w:hAnsi="Arial" w:eastAsia="Microsoft YaHei"/>
          <w:b/>
          <w:color w:val="17365D"/>
          <w:sz w:val="24"/>
        </w:rPr>
        <w:t>最终主张：MVP 不是后续项目的销售入口，而是双方共同经营 AI 价值的起点。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66666"/>
        <w:sz w:val="17"/>
      </w:rPr>
      <w:t>三丰智能 AI | MVP 价值增长与长期合作策略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三丰智能AI-MVP价值增长与长期合作策略</dc:title>
  <dc:subject>MVP价值证明、需求延伸与共赢商业机制</dc:subject>
  <dc:creator>方案项目组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