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EA3AFE" w:rsidRDefault="001F66B0" w:rsidP="00AE4EDA">
      <w:pPr>
        <w:contextualSpacing/>
        <w:rPr>
          <w:rFonts w:ascii="Arial" w:hAnsi="Arial" w:cs="Arial"/>
        </w:rPr>
      </w:pPr>
      <w:bookmarkStart w:id="0" w:name="_GoBack"/>
      <w:bookmarkEnd w:id="0"/>
      <w:r w:rsidRPr="00EA3AFE">
        <w:rPr>
          <w:rFonts w:ascii="Arial" w:hAnsi="Arial" w:cs="Arial"/>
        </w:rPr>
        <w:t>Qingyang Li</w:t>
      </w:r>
    </w:p>
    <w:p w14:paraId="1F5CBD56" w14:textId="10A0FC7D" w:rsidR="00630F25" w:rsidRPr="00EA3AFE" w:rsidRDefault="00C3534B" w:rsidP="00AE4EDA">
      <w:pPr>
        <w:contextualSpacing/>
        <w:rPr>
          <w:rFonts w:ascii="Arial" w:hAnsi="Arial" w:cs="Arial"/>
        </w:rPr>
      </w:pPr>
      <w:r w:rsidRPr="00EA3AFE">
        <w:rPr>
          <w:rFonts w:ascii="Arial" w:hAnsi="Arial" w:cs="Arial"/>
        </w:rPr>
        <w:t>Report</w:t>
      </w:r>
      <w:r w:rsidR="00630F25" w:rsidRPr="00EA3AFE">
        <w:rPr>
          <w:rFonts w:ascii="Arial" w:hAnsi="Arial" w:cs="Arial"/>
        </w:rPr>
        <w:t>:</w:t>
      </w:r>
      <w:r w:rsidR="00AE4EDA" w:rsidRPr="00EA3AFE">
        <w:rPr>
          <w:rFonts w:ascii="Arial" w:hAnsi="Arial" w:cs="Arial"/>
        </w:rPr>
        <w:t xml:space="preserve"> Project 0</w:t>
      </w:r>
      <w:r w:rsidR="00FB104F" w:rsidRPr="00EA3AFE">
        <w:rPr>
          <w:rFonts w:ascii="Arial" w:hAnsi="Arial" w:cs="Arial"/>
        </w:rPr>
        <w:t>6</w:t>
      </w:r>
      <w:r w:rsidR="00AE4EDA" w:rsidRPr="00EA3AFE">
        <w:rPr>
          <w:rFonts w:ascii="Arial" w:hAnsi="Arial" w:cs="Arial"/>
        </w:rPr>
        <w:t xml:space="preserve"> – </w:t>
      </w:r>
      <w:r w:rsidR="00FB104F" w:rsidRPr="00EA3AFE">
        <w:rPr>
          <w:rFonts w:ascii="Arial" w:hAnsi="Arial" w:cs="Arial"/>
        </w:rPr>
        <w:t>Manual Strategy</w:t>
      </w:r>
      <w:r w:rsidR="00630F25" w:rsidRPr="00EA3AFE">
        <w:rPr>
          <w:rFonts w:ascii="Arial" w:hAnsi="Arial" w:cs="Arial"/>
        </w:rPr>
        <w:t xml:space="preserve"> </w:t>
      </w:r>
    </w:p>
    <w:p w14:paraId="5D9738D1" w14:textId="2B8EA149" w:rsidR="00630F25" w:rsidRPr="00EA3AFE" w:rsidRDefault="00C3534B" w:rsidP="00AE4EDA">
      <w:pPr>
        <w:contextualSpacing/>
        <w:rPr>
          <w:rFonts w:ascii="Arial" w:hAnsi="Arial" w:cs="Arial"/>
        </w:rPr>
      </w:pPr>
      <w:r w:rsidRPr="00EA3AFE">
        <w:rPr>
          <w:rFonts w:ascii="Arial" w:hAnsi="Arial" w:cs="Arial"/>
        </w:rPr>
        <w:t>CS7646</w:t>
      </w:r>
      <w:r w:rsidR="00630F25" w:rsidRPr="00EA3AFE">
        <w:rPr>
          <w:rFonts w:ascii="Arial" w:hAnsi="Arial" w:cs="Arial"/>
        </w:rPr>
        <w:t xml:space="preserve">: </w:t>
      </w:r>
      <w:r w:rsidRPr="00EA3AFE">
        <w:rPr>
          <w:rFonts w:ascii="Arial" w:hAnsi="Arial" w:cs="Arial"/>
        </w:rPr>
        <w:t>ML4T</w:t>
      </w:r>
      <w:r w:rsidR="00AE4EDA" w:rsidRPr="00EA3AFE">
        <w:rPr>
          <w:rFonts w:ascii="Arial" w:hAnsi="Arial" w:cs="Arial"/>
        </w:rPr>
        <w:t xml:space="preserve"> -</w:t>
      </w:r>
      <w:r w:rsidR="00630F25" w:rsidRPr="00EA3AFE">
        <w:rPr>
          <w:rFonts w:ascii="Arial" w:hAnsi="Arial" w:cs="Arial"/>
        </w:rPr>
        <w:t xml:space="preserve"> Spring 201</w:t>
      </w:r>
      <w:r w:rsidRPr="00EA3AFE">
        <w:rPr>
          <w:rFonts w:ascii="Arial" w:hAnsi="Arial" w:cs="Arial"/>
        </w:rPr>
        <w:t>9</w:t>
      </w:r>
    </w:p>
    <w:p w14:paraId="0F779483" w14:textId="25A2C510" w:rsidR="00FB104F" w:rsidRPr="00EA3AFE" w:rsidRDefault="00FB104F" w:rsidP="00AE4EDA">
      <w:pPr>
        <w:contextualSpacing/>
        <w:rPr>
          <w:rFonts w:ascii="Arial" w:hAnsi="Arial" w:cs="Arial"/>
        </w:rPr>
      </w:pPr>
      <w:r w:rsidRPr="00EA3AFE">
        <w:rPr>
          <w:rFonts w:ascii="Arial" w:hAnsi="Arial" w:cs="Arial"/>
        </w:rPr>
        <w:t>March</w:t>
      </w:r>
      <w:r w:rsidR="001F66B0" w:rsidRPr="00EA3AFE">
        <w:rPr>
          <w:rFonts w:ascii="Arial" w:hAnsi="Arial" w:cs="Arial"/>
        </w:rPr>
        <w:t xml:space="preserve"> </w:t>
      </w:r>
      <w:r w:rsidRPr="00EA3AFE">
        <w:rPr>
          <w:rFonts w:ascii="Arial" w:hAnsi="Arial" w:cs="Arial"/>
        </w:rPr>
        <w:t>24</w:t>
      </w:r>
      <w:r w:rsidR="00C3534B" w:rsidRPr="00EA3AFE">
        <w:rPr>
          <w:rFonts w:ascii="Arial" w:hAnsi="Arial" w:cs="Arial"/>
        </w:rPr>
        <w:t>, 2019</w:t>
      </w:r>
    </w:p>
    <w:p w14:paraId="6E306328" w14:textId="289AB6A5" w:rsidR="00FB104F" w:rsidRPr="00EA3AFE" w:rsidRDefault="00FB104F" w:rsidP="00AE4EDA">
      <w:pPr>
        <w:contextualSpacing/>
        <w:rPr>
          <w:rFonts w:ascii="Arial" w:hAnsi="Arial" w:cs="Arial"/>
        </w:rPr>
      </w:pPr>
    </w:p>
    <w:p w14:paraId="5BBEA1D2" w14:textId="68056DD3" w:rsidR="00FB104F" w:rsidRPr="00EA3AFE" w:rsidRDefault="00FB104F" w:rsidP="009B012C">
      <w:pPr>
        <w:spacing w:line="480" w:lineRule="auto"/>
        <w:rPr>
          <w:rFonts w:ascii="Arial" w:hAnsi="Arial" w:cs="Arial"/>
          <w:b/>
        </w:rPr>
      </w:pPr>
      <w:r w:rsidRPr="00EA3AFE">
        <w:rPr>
          <w:rFonts w:ascii="Arial" w:hAnsi="Arial" w:cs="Arial"/>
          <w:b/>
        </w:rPr>
        <w:t>Part 1: Technical Indicators</w:t>
      </w:r>
    </w:p>
    <w:p w14:paraId="0FB4AAC5" w14:textId="1FADFA63" w:rsidR="00787D28" w:rsidRPr="00EA3AFE" w:rsidRDefault="00FB104F" w:rsidP="00D12422">
      <w:pPr>
        <w:autoSpaceDE w:val="0"/>
        <w:autoSpaceDN w:val="0"/>
        <w:adjustRightInd w:val="0"/>
        <w:spacing w:line="480" w:lineRule="auto"/>
        <w:rPr>
          <w:rFonts w:ascii="Arial" w:hAnsi="Arial" w:cs="Arial"/>
        </w:rPr>
      </w:pPr>
      <w:r w:rsidRPr="00EA3AFE">
        <w:rPr>
          <w:rFonts w:ascii="Arial" w:hAnsi="Arial" w:cs="Arial"/>
        </w:rPr>
        <w:t>Technical analysis assumes that there is information in historical price and volume data that we can discover and exploit in advance of the market</w:t>
      </w:r>
      <w:r w:rsidR="00787D28" w:rsidRPr="00EA3AFE">
        <w:rPr>
          <w:rFonts w:ascii="Arial" w:hAnsi="Arial" w:cs="Arial"/>
        </w:rPr>
        <w:t xml:space="preserve"> while f</w:t>
      </w:r>
      <w:r w:rsidRPr="00EA3AFE">
        <w:rPr>
          <w:rFonts w:ascii="Arial" w:hAnsi="Arial" w:cs="Arial"/>
        </w:rPr>
        <w:t>undamental analysis</w:t>
      </w:r>
      <w:r w:rsidR="00787D28" w:rsidRPr="00EA3AFE">
        <w:rPr>
          <w:rFonts w:ascii="Arial" w:hAnsi="Arial" w:cs="Arial"/>
        </w:rPr>
        <w:t xml:space="preserve"> assumes</w:t>
      </w:r>
      <w:r w:rsidRPr="00EA3AFE">
        <w:rPr>
          <w:rFonts w:ascii="Arial" w:hAnsi="Arial" w:cs="Arial"/>
        </w:rPr>
        <w:t xml:space="preserve"> there is information in fundamental data, like earnings, that can be exploited and traded upon in advance of the market.</w:t>
      </w:r>
      <w:r w:rsidR="00787D28" w:rsidRPr="00EA3AFE">
        <w:rPr>
          <w:rFonts w:ascii="Arial" w:hAnsi="Arial" w:cs="Arial"/>
        </w:rPr>
        <w:t xml:space="preserve"> Technical indicators are statistics calculated from price and volume data that can be used to understand investment portfolio. </w:t>
      </w:r>
      <w:r w:rsidRPr="00EA3AFE">
        <w:rPr>
          <w:rFonts w:ascii="Arial" w:hAnsi="Arial" w:cs="Arial"/>
        </w:rPr>
        <w:t xml:space="preserve">In this project, different technical indicators </w:t>
      </w:r>
      <w:r w:rsidR="00787D28" w:rsidRPr="00EA3AFE">
        <w:rPr>
          <w:rFonts w:ascii="Arial" w:hAnsi="Arial" w:cs="Arial"/>
        </w:rPr>
        <w:t>are explored in order to</w:t>
      </w:r>
      <w:r w:rsidRPr="00EA3AFE">
        <w:rPr>
          <w:rFonts w:ascii="Arial" w:hAnsi="Arial" w:cs="Arial"/>
        </w:rPr>
        <w:t xml:space="preserve"> build </w:t>
      </w:r>
      <w:r w:rsidR="00787D28" w:rsidRPr="00EA3AFE">
        <w:rPr>
          <w:rFonts w:ascii="Arial" w:hAnsi="Arial" w:cs="Arial"/>
        </w:rPr>
        <w:t>a</w:t>
      </w:r>
      <w:r w:rsidRPr="00EA3AFE">
        <w:rPr>
          <w:rFonts w:ascii="Arial" w:hAnsi="Arial" w:cs="Arial"/>
        </w:rPr>
        <w:t xml:space="preserve"> </w:t>
      </w:r>
      <w:r w:rsidR="00787D28" w:rsidRPr="00EA3AFE">
        <w:rPr>
          <w:rFonts w:ascii="Arial" w:hAnsi="Arial" w:cs="Arial"/>
        </w:rPr>
        <w:t xml:space="preserve">trading </w:t>
      </w:r>
      <w:r w:rsidRPr="00EA3AFE">
        <w:rPr>
          <w:rFonts w:ascii="Arial" w:hAnsi="Arial" w:cs="Arial"/>
        </w:rPr>
        <w:t>strategy</w:t>
      </w:r>
      <w:r w:rsidR="00787D28" w:rsidRPr="00EA3AFE">
        <w:rPr>
          <w:rFonts w:ascii="Arial" w:hAnsi="Arial" w:cs="Arial"/>
        </w:rPr>
        <w:t xml:space="preserve"> to </w:t>
      </w:r>
      <w:r w:rsidR="008F7ABB" w:rsidRPr="00EA3AFE">
        <w:rPr>
          <w:rFonts w:ascii="Arial" w:hAnsi="Arial" w:cs="Arial"/>
        </w:rPr>
        <w:t>outperform</w:t>
      </w:r>
      <w:r w:rsidR="00787D28" w:rsidRPr="00EA3AFE">
        <w:rPr>
          <w:rFonts w:ascii="Arial" w:hAnsi="Arial" w:cs="Arial"/>
        </w:rPr>
        <w:t xml:space="preserve"> the </w:t>
      </w:r>
      <w:r w:rsidRPr="00EA3AFE">
        <w:rPr>
          <w:rFonts w:ascii="Arial" w:hAnsi="Arial" w:cs="Arial"/>
        </w:rPr>
        <w:t xml:space="preserve">benchmark </w:t>
      </w:r>
      <w:r w:rsidR="00787D28" w:rsidRPr="00EA3AFE">
        <w:rPr>
          <w:rFonts w:ascii="Arial" w:hAnsi="Arial" w:cs="Arial"/>
        </w:rPr>
        <w:t>strategy (buy and hold long term)</w:t>
      </w:r>
      <w:r w:rsidRPr="00EA3AFE">
        <w:rPr>
          <w:rFonts w:ascii="Arial" w:hAnsi="Arial" w:cs="Arial"/>
        </w:rPr>
        <w:t>.</w:t>
      </w:r>
    </w:p>
    <w:p w14:paraId="7ADBD4E5" w14:textId="41BDFE94" w:rsidR="00B7333B" w:rsidRPr="00EA3AFE" w:rsidRDefault="00D12422" w:rsidP="00D12422">
      <w:pPr>
        <w:autoSpaceDE w:val="0"/>
        <w:autoSpaceDN w:val="0"/>
        <w:adjustRightInd w:val="0"/>
        <w:spacing w:line="480" w:lineRule="auto"/>
        <w:rPr>
          <w:rFonts w:ascii="Arial" w:hAnsi="Arial" w:cs="Arial"/>
        </w:rPr>
      </w:pPr>
      <w:r w:rsidRPr="00EA3AFE">
        <w:rPr>
          <w:rFonts w:ascii="Arial" w:hAnsi="Arial" w:cs="Arial"/>
        </w:rPr>
        <w:t xml:space="preserve">    </w:t>
      </w:r>
      <w:r w:rsidR="00787D28" w:rsidRPr="00EA3AFE">
        <w:rPr>
          <w:rFonts w:ascii="Arial" w:hAnsi="Arial" w:cs="Arial"/>
        </w:rPr>
        <w:t xml:space="preserve">Simple moving average (SMA), </w:t>
      </w:r>
      <w:r w:rsidR="00FB104F" w:rsidRPr="00EA3AFE">
        <w:rPr>
          <w:rFonts w:ascii="Arial" w:hAnsi="Arial" w:cs="Arial"/>
        </w:rPr>
        <w:t xml:space="preserve">Bollinger Bands and </w:t>
      </w:r>
      <w:r w:rsidR="00787D28" w:rsidRPr="00EA3AFE">
        <w:rPr>
          <w:rFonts w:ascii="Arial" w:hAnsi="Arial" w:cs="Arial"/>
        </w:rPr>
        <w:t xml:space="preserve">momentum are the indicators of </w:t>
      </w:r>
      <w:r w:rsidR="00FB104F" w:rsidRPr="00EA3AFE">
        <w:rPr>
          <w:rFonts w:ascii="Arial" w:hAnsi="Arial" w:cs="Arial"/>
        </w:rPr>
        <w:t xml:space="preserve">choice </w:t>
      </w:r>
      <w:r w:rsidR="00787D28" w:rsidRPr="00EA3AFE">
        <w:rPr>
          <w:rFonts w:ascii="Arial" w:hAnsi="Arial" w:cs="Arial"/>
        </w:rPr>
        <w:t>in this report</w:t>
      </w:r>
      <w:r w:rsidR="00FB104F" w:rsidRPr="00EA3AFE">
        <w:rPr>
          <w:rFonts w:ascii="Arial" w:hAnsi="Arial" w:cs="Arial"/>
        </w:rPr>
        <w:t xml:space="preserve">. </w:t>
      </w:r>
      <w:r w:rsidR="00787D28" w:rsidRPr="00EA3AFE">
        <w:rPr>
          <w:rFonts w:ascii="Arial" w:hAnsi="Arial" w:cs="Arial"/>
        </w:rPr>
        <w:t xml:space="preserve">The three indicators are all calculated from stock price.  </w:t>
      </w:r>
      <w:r w:rsidR="00B7333B" w:rsidRPr="00EA3AFE">
        <w:rPr>
          <w:rFonts w:ascii="Arial" w:hAnsi="Arial" w:cs="Arial"/>
        </w:rPr>
        <w:t xml:space="preserve">Part 1 </w:t>
      </w:r>
      <w:r w:rsidR="00787D28" w:rsidRPr="00EA3AFE">
        <w:rPr>
          <w:rFonts w:ascii="Arial" w:hAnsi="Arial" w:cs="Arial"/>
        </w:rPr>
        <w:t xml:space="preserve">will explain </w:t>
      </w:r>
      <w:r w:rsidR="008F7ABB" w:rsidRPr="00EA3AFE">
        <w:rPr>
          <w:rFonts w:ascii="Arial" w:hAnsi="Arial" w:cs="Arial"/>
        </w:rPr>
        <w:t xml:space="preserve">what </w:t>
      </w:r>
      <w:r w:rsidR="00B7333B" w:rsidRPr="00EA3AFE">
        <w:rPr>
          <w:rFonts w:ascii="Arial" w:hAnsi="Arial" w:cs="Arial"/>
        </w:rPr>
        <w:t>the indicators</w:t>
      </w:r>
      <w:r w:rsidR="008F7ABB" w:rsidRPr="00EA3AFE">
        <w:rPr>
          <w:rFonts w:ascii="Arial" w:hAnsi="Arial" w:cs="Arial"/>
        </w:rPr>
        <w:t xml:space="preserve"> are, how to calculate them </w:t>
      </w:r>
      <w:r w:rsidR="00787D28" w:rsidRPr="00EA3AFE">
        <w:rPr>
          <w:rFonts w:ascii="Arial" w:hAnsi="Arial" w:cs="Arial"/>
        </w:rPr>
        <w:t>and demonstrated</w:t>
      </w:r>
      <w:r w:rsidR="008F7ABB" w:rsidRPr="00EA3AFE">
        <w:rPr>
          <w:rFonts w:ascii="Arial" w:hAnsi="Arial" w:cs="Arial"/>
        </w:rPr>
        <w:t xml:space="preserve"> their relationship with stock price with the prices of a stock JPM. </w:t>
      </w:r>
      <w:r w:rsidR="00B7333B" w:rsidRPr="00EA3AFE">
        <w:rPr>
          <w:rFonts w:ascii="Arial" w:hAnsi="Arial" w:cs="Arial"/>
        </w:rPr>
        <w:t xml:space="preserve">Part 2 explores the best possible strategy given the prices of future days. </w:t>
      </w:r>
      <w:r w:rsidR="00FB104F" w:rsidRPr="00EA3AFE">
        <w:rPr>
          <w:rFonts w:ascii="Arial" w:hAnsi="Arial" w:cs="Arial"/>
        </w:rPr>
        <w:t xml:space="preserve">Finally, </w:t>
      </w:r>
      <w:r w:rsidR="00B7333B" w:rsidRPr="00EA3AFE">
        <w:rPr>
          <w:rFonts w:ascii="Arial" w:hAnsi="Arial" w:cs="Arial"/>
        </w:rPr>
        <w:t>part 3</w:t>
      </w:r>
      <w:r w:rsidR="00FB104F" w:rsidRPr="00EA3AFE">
        <w:rPr>
          <w:rFonts w:ascii="Arial" w:hAnsi="Arial" w:cs="Arial"/>
        </w:rPr>
        <w:t xml:space="preserve"> will </w:t>
      </w:r>
      <w:r w:rsidR="00B7333B" w:rsidRPr="00EA3AFE">
        <w:rPr>
          <w:rFonts w:ascii="Arial" w:hAnsi="Arial" w:cs="Arial"/>
        </w:rPr>
        <w:t>explore ways to utilize the three indicators to build a</w:t>
      </w:r>
      <w:r w:rsidR="00FB104F" w:rsidRPr="00EA3AFE">
        <w:rPr>
          <w:rFonts w:ascii="Arial" w:hAnsi="Arial" w:cs="Arial"/>
        </w:rPr>
        <w:t xml:space="preserve"> manual strategy</w:t>
      </w:r>
      <w:r w:rsidR="00B7333B" w:rsidRPr="00EA3AFE">
        <w:rPr>
          <w:rFonts w:ascii="Arial" w:hAnsi="Arial" w:cs="Arial"/>
        </w:rPr>
        <w:t xml:space="preserve"> to trade</w:t>
      </w:r>
      <w:r w:rsidR="00FB104F" w:rsidRPr="00EA3AFE">
        <w:rPr>
          <w:rFonts w:ascii="Arial" w:hAnsi="Arial" w:cs="Arial"/>
        </w:rPr>
        <w:t>.</w:t>
      </w:r>
    </w:p>
    <w:p w14:paraId="2DC66B02" w14:textId="5740FDDA" w:rsidR="00D12422" w:rsidRPr="00EA3AFE" w:rsidRDefault="00B7333B" w:rsidP="00D12422">
      <w:pPr>
        <w:spacing w:line="480" w:lineRule="auto"/>
        <w:contextualSpacing/>
        <w:rPr>
          <w:rFonts w:ascii="Arial" w:hAnsi="Arial" w:cs="Arial"/>
        </w:rPr>
      </w:pPr>
      <w:r w:rsidRPr="00EA3AFE">
        <w:rPr>
          <w:rFonts w:ascii="Arial" w:hAnsi="Arial" w:cs="Arial"/>
          <w:b/>
          <w:u w:val="single"/>
        </w:rPr>
        <w:t>Simple moving average (SMA)</w:t>
      </w:r>
      <w:r w:rsidRPr="00EA3AFE">
        <w:rPr>
          <w:rFonts w:ascii="Arial" w:hAnsi="Arial" w:cs="Arial"/>
        </w:rPr>
        <w:t xml:space="preserve"> for today is simply the average of the </w:t>
      </w:r>
      <w:r w:rsidR="00390C85" w:rsidRPr="00EA3AFE">
        <w:rPr>
          <w:rFonts w:ascii="Arial" w:hAnsi="Arial" w:cs="Arial"/>
        </w:rPr>
        <w:t>prices of a stock or portfolio</w:t>
      </w:r>
      <w:r w:rsidRPr="00EA3AFE">
        <w:rPr>
          <w:rFonts w:ascii="Arial" w:hAnsi="Arial" w:cs="Arial"/>
        </w:rPr>
        <w:t xml:space="preserve"> over </w:t>
      </w:r>
      <w:r w:rsidR="00390C85" w:rsidRPr="00EA3AFE">
        <w:rPr>
          <w:rFonts w:ascii="Arial" w:hAnsi="Arial" w:cs="Arial"/>
        </w:rPr>
        <w:t>a period of a</w:t>
      </w:r>
      <w:r w:rsidRPr="00EA3AFE">
        <w:rPr>
          <w:rFonts w:ascii="Arial" w:hAnsi="Arial" w:cs="Arial"/>
        </w:rPr>
        <w:t xml:space="preserve"> look back window.</w:t>
      </w:r>
      <w:r w:rsidR="00390C85" w:rsidRPr="00EA3AFE">
        <w:rPr>
          <w:rFonts w:ascii="Arial" w:hAnsi="Arial" w:cs="Arial"/>
        </w:rPr>
        <w:t xml:space="preserve"> Essentially, </w:t>
      </w:r>
      <w:r w:rsidRPr="00EA3AFE">
        <w:rPr>
          <w:rFonts w:ascii="Arial" w:hAnsi="Arial" w:cs="Arial"/>
        </w:rPr>
        <w:t>the SMA looks like a smoothed value of the price chart as it moves around.</w:t>
      </w:r>
      <w:r w:rsidR="00390C85" w:rsidRPr="00EA3AFE">
        <w:rPr>
          <w:rFonts w:ascii="Arial" w:hAnsi="Arial" w:cs="Arial"/>
        </w:rPr>
        <w:t xml:space="preserve"> T</w:t>
      </w:r>
      <w:r w:rsidRPr="00EA3AFE">
        <w:rPr>
          <w:rFonts w:ascii="Arial" w:hAnsi="Arial" w:cs="Arial"/>
        </w:rPr>
        <w:t xml:space="preserve">echnicians use </w:t>
      </w:r>
      <w:r w:rsidR="00390C85" w:rsidRPr="00EA3AFE">
        <w:rPr>
          <w:rFonts w:ascii="Arial" w:hAnsi="Arial" w:cs="Arial"/>
        </w:rPr>
        <w:t xml:space="preserve">usually use SMA to </w:t>
      </w:r>
      <w:r w:rsidRPr="00EA3AFE">
        <w:rPr>
          <w:rFonts w:ascii="Arial" w:hAnsi="Arial" w:cs="Arial"/>
        </w:rPr>
        <w:t xml:space="preserve">look for </w:t>
      </w:r>
      <w:r w:rsidR="00390C85" w:rsidRPr="00EA3AFE">
        <w:rPr>
          <w:rFonts w:ascii="Arial" w:hAnsi="Arial" w:cs="Arial"/>
        </w:rPr>
        <w:t xml:space="preserve">trading signals or use SMA as a proxy for the true value of the stock. It is expected that the stock price will regress to that </w:t>
      </w:r>
      <w:r w:rsidR="006B04CA" w:rsidRPr="00EA3AFE">
        <w:rPr>
          <w:rFonts w:ascii="Arial" w:hAnsi="Arial" w:cs="Arial"/>
        </w:rPr>
        <w:t xml:space="preserve">average. </w:t>
      </w:r>
      <w:r w:rsidR="00D12422" w:rsidRPr="00EA3AFE">
        <w:rPr>
          <w:rFonts w:ascii="Arial" w:hAnsi="Arial" w:cs="Arial"/>
        </w:rPr>
        <w:t xml:space="preserve">To quantify the SMA, we use the current price with the current SMA to construct a ratio, price/SMA ratio (PSR). </w:t>
      </w:r>
    </w:p>
    <w:p w14:paraId="46282AEB" w14:textId="7A24C3D4" w:rsidR="00D12422" w:rsidRPr="00EA3AFE" w:rsidRDefault="00D12422" w:rsidP="00D12422">
      <w:pPr>
        <w:spacing w:line="480" w:lineRule="auto"/>
        <w:contextualSpacing/>
        <w:rPr>
          <w:rFonts w:ascii="Arial" w:hAnsi="Arial" w:cs="Arial"/>
        </w:rPr>
      </w:pPr>
      <w:r w:rsidRPr="00EA3AFE">
        <w:rPr>
          <w:rFonts w:ascii="Arial" w:hAnsi="Arial" w:cs="Arial"/>
          <w:i/>
        </w:rPr>
        <w:t>SMA[t] = mean(price[</w:t>
      </w:r>
      <w:proofErr w:type="spellStart"/>
      <w:r w:rsidRPr="00EA3AFE">
        <w:rPr>
          <w:rFonts w:ascii="Arial" w:hAnsi="Arial" w:cs="Arial"/>
          <w:i/>
        </w:rPr>
        <w:t>t-n:t</w:t>
      </w:r>
      <w:proofErr w:type="spellEnd"/>
      <w:r w:rsidRPr="00EA3AFE">
        <w:rPr>
          <w:rFonts w:ascii="Arial" w:hAnsi="Arial" w:cs="Arial"/>
          <w:i/>
        </w:rPr>
        <w:t>]);</w:t>
      </w:r>
      <w:r w:rsidRPr="00EA3AFE">
        <w:rPr>
          <w:rFonts w:ascii="Arial" w:hAnsi="Arial" w:cs="Arial"/>
        </w:rPr>
        <w:t xml:space="preserve"> t = current day, n = lookback window.</w:t>
      </w:r>
    </w:p>
    <w:p w14:paraId="745DC6E8" w14:textId="72843DE9" w:rsidR="00D12422" w:rsidRPr="00EA3AFE" w:rsidRDefault="00D12422" w:rsidP="00D12422">
      <w:pPr>
        <w:spacing w:line="480" w:lineRule="auto"/>
        <w:contextualSpacing/>
        <w:rPr>
          <w:rFonts w:ascii="Arial" w:hAnsi="Arial" w:cs="Arial"/>
          <w:i/>
        </w:rPr>
      </w:pPr>
      <w:r w:rsidRPr="00EA3AFE">
        <w:rPr>
          <w:rFonts w:ascii="Arial" w:hAnsi="Arial" w:cs="Arial"/>
          <w:i/>
        </w:rPr>
        <w:lastRenderedPageBreak/>
        <w:t xml:space="preserve">PSR[t] = price[t] / SMA[t] -1 </w:t>
      </w:r>
    </w:p>
    <w:p w14:paraId="0A7F101E" w14:textId="499AE834" w:rsidR="00390C85" w:rsidRPr="00EA3AFE" w:rsidRDefault="00D12422" w:rsidP="009D23C3">
      <w:pPr>
        <w:spacing w:line="480" w:lineRule="auto"/>
        <w:contextualSpacing/>
        <w:rPr>
          <w:rFonts w:ascii="Arial" w:hAnsi="Arial" w:cs="Arial"/>
        </w:rPr>
      </w:pPr>
      <w:r w:rsidRPr="00EA3AFE">
        <w:rPr>
          <w:rFonts w:ascii="Arial" w:hAnsi="Arial" w:cs="Arial"/>
        </w:rPr>
        <w:t>The PSR ranges from -50% to +50% (see Figure 1.)</w:t>
      </w:r>
      <w:r w:rsidR="006B04CA" w:rsidRPr="00EA3AFE">
        <w:rPr>
          <w:rFonts w:ascii="Arial" w:hAnsi="Arial" w:cs="Arial"/>
        </w:rPr>
        <w:t xml:space="preserve"> Generally, when PSR is great than zero then we should short the stock and when it is less than </w:t>
      </w:r>
      <w:proofErr w:type="gramStart"/>
      <w:r w:rsidR="006B04CA" w:rsidRPr="00EA3AFE">
        <w:rPr>
          <w:rFonts w:ascii="Arial" w:hAnsi="Arial" w:cs="Arial"/>
        </w:rPr>
        <w:t>zero</w:t>
      </w:r>
      <w:proofErr w:type="gramEnd"/>
      <w:r w:rsidR="006B04CA" w:rsidRPr="00EA3AFE">
        <w:rPr>
          <w:rFonts w:ascii="Arial" w:hAnsi="Arial" w:cs="Arial"/>
        </w:rPr>
        <w:t xml:space="preserve"> we should long the stock. However, PSR along might not be a great indicator, it is advised to use it with the momentum (see the momentum section below).</w:t>
      </w:r>
    </w:p>
    <w:tbl>
      <w:tblPr>
        <w:tblStyle w:val="TableGrid"/>
        <w:tblW w:w="0" w:type="auto"/>
        <w:tblLook w:val="04A0" w:firstRow="1" w:lastRow="0" w:firstColumn="1" w:lastColumn="0" w:noHBand="0" w:noVBand="1"/>
      </w:tblPr>
      <w:tblGrid>
        <w:gridCol w:w="9350"/>
      </w:tblGrid>
      <w:tr w:rsidR="00D12422" w:rsidRPr="00EA3AFE" w14:paraId="0B1E7F12" w14:textId="77777777" w:rsidTr="00D12422">
        <w:tc>
          <w:tcPr>
            <w:tcW w:w="9350" w:type="dxa"/>
          </w:tcPr>
          <w:p w14:paraId="6A8BAAA5" w14:textId="0592B238" w:rsidR="00D12422" w:rsidRPr="00EA3AFE" w:rsidRDefault="00D12422" w:rsidP="00B7333B">
            <w:pPr>
              <w:contextualSpacing/>
              <w:rPr>
                <w:rFonts w:ascii="Arial" w:hAnsi="Arial" w:cs="Arial"/>
              </w:rPr>
            </w:pPr>
            <w:r w:rsidRPr="00EA3AFE">
              <w:rPr>
                <w:rFonts w:ascii="Arial" w:hAnsi="Arial" w:cs="Arial"/>
                <w:noProof/>
              </w:rPr>
              <w:drawing>
                <wp:inline distT="0" distB="0" distL="0" distR="0" wp14:anchorId="67CBC005" wp14:editId="0E926A11">
                  <wp:extent cx="5943600" cy="3219450"/>
                  <wp:effectExtent l="0" t="0" r="0" b="635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_Price_over_SMA_rat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D12422" w:rsidRPr="00EA3AFE" w14:paraId="37C078A9" w14:textId="77777777" w:rsidTr="00D12422">
        <w:tc>
          <w:tcPr>
            <w:tcW w:w="9350" w:type="dxa"/>
          </w:tcPr>
          <w:p w14:paraId="2BFD8412" w14:textId="57A27D46" w:rsidR="00D12422" w:rsidRPr="00EA3AFE" w:rsidRDefault="00D12422" w:rsidP="00B7333B">
            <w:pPr>
              <w:contextualSpacing/>
              <w:rPr>
                <w:rFonts w:ascii="Arial" w:hAnsi="Arial" w:cs="Arial"/>
              </w:rPr>
            </w:pPr>
            <w:r w:rsidRPr="00EA3AFE">
              <w:rPr>
                <w:rFonts w:ascii="Arial" w:hAnsi="Arial" w:cs="Arial"/>
              </w:rPr>
              <w:t>Figure 1: upper panel: JPM prices and SMA; lower panel: PSR</w:t>
            </w:r>
          </w:p>
        </w:tc>
      </w:tr>
    </w:tbl>
    <w:p w14:paraId="058CCE31" w14:textId="77777777" w:rsidR="00D12422" w:rsidRPr="00EA3AFE" w:rsidRDefault="00D12422" w:rsidP="00B7333B">
      <w:pPr>
        <w:contextualSpacing/>
        <w:rPr>
          <w:rFonts w:ascii="Arial" w:hAnsi="Arial" w:cs="Arial"/>
        </w:rPr>
      </w:pPr>
    </w:p>
    <w:p w14:paraId="18FEF271" w14:textId="77777777" w:rsidR="009D23C3" w:rsidRPr="00EA3AFE" w:rsidRDefault="0022363F" w:rsidP="009D23C3">
      <w:pPr>
        <w:autoSpaceDE w:val="0"/>
        <w:autoSpaceDN w:val="0"/>
        <w:adjustRightInd w:val="0"/>
        <w:spacing w:line="480" w:lineRule="auto"/>
        <w:rPr>
          <w:rFonts w:ascii="Arial" w:hAnsi="Arial" w:cs="Arial"/>
        </w:rPr>
      </w:pPr>
      <w:r w:rsidRPr="00EA3AFE">
        <w:rPr>
          <w:rFonts w:ascii="Arial" w:hAnsi="Arial" w:cs="Arial"/>
          <w:b/>
          <w:u w:val="single"/>
        </w:rPr>
        <w:t>Bollinger Bands</w:t>
      </w:r>
      <w:r w:rsidRPr="00EA3AFE">
        <w:rPr>
          <w:rFonts w:ascii="Arial" w:hAnsi="Arial" w:cs="Arial"/>
        </w:rPr>
        <w:t xml:space="preserve"> </w:t>
      </w:r>
      <w:r w:rsidR="00ED3027" w:rsidRPr="00EA3AFE">
        <w:rPr>
          <w:rFonts w:ascii="Arial" w:hAnsi="Arial" w:cs="Arial"/>
        </w:rPr>
        <w:t>take</w:t>
      </w:r>
      <w:r w:rsidR="00FC10E6" w:rsidRPr="00EA3AFE">
        <w:rPr>
          <w:rFonts w:ascii="Arial" w:hAnsi="Arial" w:cs="Arial"/>
        </w:rPr>
        <w:t>s</w:t>
      </w:r>
      <w:r w:rsidR="00ED3027" w:rsidRPr="00EA3AFE">
        <w:rPr>
          <w:rFonts w:ascii="Arial" w:hAnsi="Arial" w:cs="Arial"/>
        </w:rPr>
        <w:t xml:space="preserve"> </w:t>
      </w:r>
      <w:r w:rsidR="00FC10E6" w:rsidRPr="00EA3AFE">
        <w:rPr>
          <w:rFonts w:ascii="Arial" w:hAnsi="Arial" w:cs="Arial"/>
        </w:rPr>
        <w:t>the</w:t>
      </w:r>
      <w:r w:rsidR="00ED3027" w:rsidRPr="00EA3AFE">
        <w:rPr>
          <w:rFonts w:ascii="Arial" w:hAnsi="Arial" w:cs="Arial"/>
        </w:rPr>
        <w:t xml:space="preserve"> </w:t>
      </w:r>
      <w:r w:rsidR="00FC10E6" w:rsidRPr="00EA3AFE">
        <w:rPr>
          <w:rFonts w:ascii="Arial" w:hAnsi="Arial" w:cs="Arial"/>
        </w:rPr>
        <w:t>SMA</w:t>
      </w:r>
      <w:r w:rsidR="00ED3027" w:rsidRPr="00EA3AFE">
        <w:rPr>
          <w:rFonts w:ascii="Arial" w:hAnsi="Arial" w:cs="Arial"/>
        </w:rPr>
        <w:t xml:space="preserve"> </w:t>
      </w:r>
      <w:r w:rsidR="00FC10E6" w:rsidRPr="00EA3AFE">
        <w:rPr>
          <w:rFonts w:ascii="Arial" w:hAnsi="Arial" w:cs="Arial"/>
        </w:rPr>
        <w:t>and</w:t>
      </w:r>
      <w:r w:rsidR="00ED3027" w:rsidRPr="00EA3AFE">
        <w:rPr>
          <w:rFonts w:ascii="Arial" w:hAnsi="Arial" w:cs="Arial"/>
        </w:rPr>
        <w:t xml:space="preserve"> add a band above and below 2 standard deviations</w:t>
      </w:r>
      <w:r w:rsidR="009D23C3" w:rsidRPr="00EA3AFE">
        <w:rPr>
          <w:rFonts w:ascii="Arial" w:hAnsi="Arial" w:cs="Arial"/>
        </w:rPr>
        <w:t xml:space="preserve"> from SMA</w:t>
      </w:r>
      <w:r w:rsidR="00ED3027" w:rsidRPr="00EA3AFE">
        <w:rPr>
          <w:rFonts w:ascii="Arial" w:hAnsi="Arial" w:cs="Arial"/>
        </w:rPr>
        <w:t>.</w:t>
      </w:r>
      <w:r w:rsidR="009D23C3" w:rsidRPr="00EA3AFE">
        <w:rPr>
          <w:rFonts w:ascii="Arial" w:hAnsi="Arial" w:cs="Arial"/>
        </w:rPr>
        <w:t xml:space="preserve"> When the prices cross the Bollinger Band from outside to the inside of the band, it is often a</w:t>
      </w:r>
      <w:r w:rsidR="00ED3027" w:rsidRPr="00EA3AFE">
        <w:rPr>
          <w:rFonts w:ascii="Arial" w:hAnsi="Arial" w:cs="Arial"/>
        </w:rPr>
        <w:t xml:space="preserve"> trading signal</w:t>
      </w:r>
      <w:r w:rsidR="009D23C3" w:rsidRPr="00EA3AFE">
        <w:rPr>
          <w:rFonts w:ascii="Arial" w:hAnsi="Arial" w:cs="Arial"/>
        </w:rPr>
        <w:t>. For example, prices m</w:t>
      </w:r>
      <w:r w:rsidR="00ED3027" w:rsidRPr="00EA3AFE">
        <w:rPr>
          <w:rFonts w:ascii="Arial" w:hAnsi="Arial" w:cs="Arial"/>
        </w:rPr>
        <w:t>ov</w:t>
      </w:r>
      <w:r w:rsidR="009D23C3" w:rsidRPr="00EA3AFE">
        <w:rPr>
          <w:rFonts w:ascii="Arial" w:hAnsi="Arial" w:cs="Arial"/>
        </w:rPr>
        <w:t>ing</w:t>
      </w:r>
      <w:r w:rsidR="00ED3027" w:rsidRPr="00EA3AFE">
        <w:rPr>
          <w:rFonts w:ascii="Arial" w:hAnsi="Arial" w:cs="Arial"/>
        </w:rPr>
        <w:t xml:space="preserve"> from above the </w:t>
      </w:r>
      <w:r w:rsidR="009D23C3" w:rsidRPr="00EA3AFE">
        <w:rPr>
          <w:rFonts w:ascii="Arial" w:hAnsi="Arial" w:cs="Arial"/>
        </w:rPr>
        <w:t xml:space="preserve">upper </w:t>
      </w:r>
      <w:r w:rsidR="00ED3027" w:rsidRPr="00EA3AFE">
        <w:rPr>
          <w:rFonts w:ascii="Arial" w:hAnsi="Arial" w:cs="Arial"/>
        </w:rPr>
        <w:t>band and cross</w:t>
      </w:r>
      <w:r w:rsidR="009D23C3" w:rsidRPr="00EA3AFE">
        <w:rPr>
          <w:rFonts w:ascii="Arial" w:hAnsi="Arial" w:cs="Arial"/>
        </w:rPr>
        <w:t>ing</w:t>
      </w:r>
      <w:r w:rsidR="00ED3027" w:rsidRPr="00EA3AFE">
        <w:rPr>
          <w:rFonts w:ascii="Arial" w:hAnsi="Arial" w:cs="Arial"/>
        </w:rPr>
        <w:t xml:space="preserve"> to the inside</w:t>
      </w:r>
      <w:r w:rsidR="009D23C3" w:rsidRPr="00EA3AFE">
        <w:rPr>
          <w:rFonts w:ascii="Arial" w:hAnsi="Arial" w:cs="Arial"/>
        </w:rPr>
        <w:t xml:space="preserve"> signals </w:t>
      </w:r>
      <w:r w:rsidR="00ED3027" w:rsidRPr="00EA3AFE">
        <w:rPr>
          <w:rFonts w:ascii="Arial" w:hAnsi="Arial" w:cs="Arial"/>
        </w:rPr>
        <w:t>selling</w:t>
      </w:r>
      <w:r w:rsidR="009D23C3" w:rsidRPr="00EA3AFE">
        <w:rPr>
          <w:rFonts w:ascii="Arial" w:hAnsi="Arial" w:cs="Arial"/>
        </w:rPr>
        <w:t>. And, prices m</w:t>
      </w:r>
      <w:r w:rsidR="00ED3027" w:rsidRPr="00EA3AFE">
        <w:rPr>
          <w:rFonts w:ascii="Arial" w:hAnsi="Arial" w:cs="Arial"/>
        </w:rPr>
        <w:t xml:space="preserve">oving from below the </w:t>
      </w:r>
      <w:r w:rsidR="009D23C3" w:rsidRPr="00EA3AFE">
        <w:rPr>
          <w:rFonts w:ascii="Arial" w:hAnsi="Arial" w:cs="Arial"/>
        </w:rPr>
        <w:t xml:space="preserve">lower </w:t>
      </w:r>
      <w:r w:rsidR="00ED3027" w:rsidRPr="00EA3AFE">
        <w:rPr>
          <w:rFonts w:ascii="Arial" w:hAnsi="Arial" w:cs="Arial"/>
        </w:rPr>
        <w:t>band and cross</w:t>
      </w:r>
      <w:r w:rsidR="009D23C3" w:rsidRPr="00EA3AFE">
        <w:rPr>
          <w:rFonts w:ascii="Arial" w:hAnsi="Arial" w:cs="Arial"/>
        </w:rPr>
        <w:t>ing</w:t>
      </w:r>
      <w:r w:rsidR="00ED3027" w:rsidRPr="00EA3AFE">
        <w:rPr>
          <w:rFonts w:ascii="Arial" w:hAnsi="Arial" w:cs="Arial"/>
        </w:rPr>
        <w:t xml:space="preserve"> to the inside</w:t>
      </w:r>
      <w:r w:rsidR="009D23C3" w:rsidRPr="00EA3AFE">
        <w:rPr>
          <w:rFonts w:ascii="Arial" w:hAnsi="Arial" w:cs="Arial"/>
        </w:rPr>
        <w:t xml:space="preserve"> signals </w:t>
      </w:r>
      <w:r w:rsidR="00ED3027" w:rsidRPr="00EA3AFE">
        <w:rPr>
          <w:rFonts w:ascii="Arial" w:hAnsi="Arial" w:cs="Arial"/>
        </w:rPr>
        <w:t>buying</w:t>
      </w:r>
      <w:r w:rsidR="009D23C3" w:rsidRPr="00EA3AFE">
        <w:rPr>
          <w:rFonts w:ascii="Arial" w:hAnsi="Arial" w:cs="Arial"/>
        </w:rPr>
        <w:t>.</w:t>
      </w:r>
      <w:r w:rsidR="00ED3027" w:rsidRPr="00EA3AFE">
        <w:rPr>
          <w:rFonts w:ascii="Arial" w:hAnsi="Arial" w:cs="Arial"/>
        </w:rPr>
        <w:t xml:space="preserve"> </w:t>
      </w:r>
      <w:r w:rsidR="009D23C3" w:rsidRPr="00EA3AFE">
        <w:rPr>
          <w:rFonts w:ascii="Arial" w:hAnsi="Arial" w:cs="Arial"/>
        </w:rPr>
        <w:t>T</w:t>
      </w:r>
      <w:r w:rsidR="00ED3027" w:rsidRPr="00EA3AFE">
        <w:rPr>
          <w:rFonts w:ascii="Arial" w:hAnsi="Arial" w:cs="Arial"/>
        </w:rPr>
        <w:t xml:space="preserve">he Bollinger Band </w:t>
      </w:r>
      <w:r w:rsidR="009D23C3" w:rsidRPr="00EA3AFE">
        <w:rPr>
          <w:rFonts w:ascii="Arial" w:hAnsi="Arial" w:cs="Arial"/>
        </w:rPr>
        <w:t>indicator is calculated using the formula below:</w:t>
      </w:r>
    </w:p>
    <w:p w14:paraId="50544187" w14:textId="5AF9363E" w:rsidR="00ED3027" w:rsidRPr="00EA3AFE" w:rsidRDefault="009D23C3" w:rsidP="00020592">
      <w:pPr>
        <w:autoSpaceDE w:val="0"/>
        <w:autoSpaceDN w:val="0"/>
        <w:adjustRightInd w:val="0"/>
        <w:spacing w:line="480" w:lineRule="auto"/>
        <w:rPr>
          <w:rFonts w:ascii="Arial" w:hAnsi="Arial" w:cs="Arial"/>
        </w:rPr>
      </w:pPr>
      <w:r w:rsidRPr="00EA3AFE">
        <w:rPr>
          <w:rFonts w:ascii="Arial" w:hAnsi="Arial" w:cs="Arial"/>
        </w:rPr>
        <w:t>For a given</w:t>
      </w:r>
      <w:r w:rsidR="00ED3027" w:rsidRPr="00EA3AFE">
        <w:rPr>
          <w:rFonts w:ascii="Arial" w:hAnsi="Arial" w:cs="Arial"/>
        </w:rPr>
        <w:t xml:space="preserve"> day</w:t>
      </w:r>
      <w:r w:rsidRPr="00EA3AFE">
        <w:rPr>
          <w:rFonts w:ascii="Arial" w:hAnsi="Arial" w:cs="Arial"/>
        </w:rPr>
        <w:t>,</w:t>
      </w:r>
      <w:r w:rsidR="00ED3027" w:rsidRPr="00EA3AFE">
        <w:rPr>
          <w:rFonts w:ascii="Arial" w:hAnsi="Arial" w:cs="Arial"/>
        </w:rPr>
        <w:t xml:space="preserve"> t</w:t>
      </w:r>
      <w:r w:rsidR="00020592" w:rsidRPr="00EA3AFE">
        <w:rPr>
          <w:rFonts w:ascii="Arial" w:hAnsi="Arial" w:cs="Arial"/>
        </w:rPr>
        <w:t xml:space="preserve">, </w:t>
      </w:r>
      <w:r w:rsidR="00ED3027" w:rsidRPr="00EA3AFE">
        <w:rPr>
          <w:rFonts w:ascii="Arial" w:hAnsi="Arial" w:cs="Arial"/>
        </w:rPr>
        <w:t>BB[t] = (Price[t] -SMA[t]) / (2*</w:t>
      </w:r>
      <w:proofErr w:type="spellStart"/>
      <w:r w:rsidR="00ED3027" w:rsidRPr="00EA3AFE">
        <w:rPr>
          <w:rFonts w:ascii="Arial" w:hAnsi="Arial" w:cs="Arial"/>
        </w:rPr>
        <w:t>std</w:t>
      </w:r>
      <w:proofErr w:type="spellEnd"/>
      <w:r w:rsidR="00ED3027" w:rsidRPr="00EA3AFE">
        <w:rPr>
          <w:rFonts w:ascii="Arial" w:hAnsi="Arial" w:cs="Arial"/>
        </w:rPr>
        <w:t>[t]</w:t>
      </w:r>
      <w:proofErr w:type="gramStart"/>
      <w:r w:rsidR="00ED3027" w:rsidRPr="00EA3AFE">
        <w:rPr>
          <w:rFonts w:ascii="Arial" w:hAnsi="Arial" w:cs="Arial"/>
        </w:rPr>
        <w:t>)</w:t>
      </w:r>
      <w:r w:rsidRPr="00EA3AFE">
        <w:rPr>
          <w:rFonts w:ascii="Arial" w:hAnsi="Arial" w:cs="Arial"/>
        </w:rPr>
        <w:t xml:space="preserve">;  </w:t>
      </w:r>
      <w:proofErr w:type="spellStart"/>
      <w:r w:rsidRPr="00EA3AFE">
        <w:rPr>
          <w:rFonts w:ascii="Arial" w:hAnsi="Arial" w:cs="Arial"/>
        </w:rPr>
        <w:t>std</w:t>
      </w:r>
      <w:proofErr w:type="spellEnd"/>
      <w:proofErr w:type="gramEnd"/>
      <w:r w:rsidRPr="00EA3AFE">
        <w:rPr>
          <w:rFonts w:ascii="Arial" w:hAnsi="Arial" w:cs="Arial"/>
        </w:rPr>
        <w:t xml:space="preserve"> is standard deviation.</w:t>
      </w:r>
    </w:p>
    <w:p w14:paraId="2DACDE9F" w14:textId="079CCE6E" w:rsidR="009D23C3" w:rsidRPr="00EA3AFE" w:rsidRDefault="00ED3027" w:rsidP="009D23C3">
      <w:pPr>
        <w:spacing w:line="480" w:lineRule="auto"/>
        <w:contextualSpacing/>
        <w:rPr>
          <w:rFonts w:ascii="Arial" w:hAnsi="Arial" w:cs="Arial"/>
        </w:rPr>
      </w:pPr>
      <w:r w:rsidRPr="00EA3AFE">
        <w:rPr>
          <w:rFonts w:ascii="Arial" w:hAnsi="Arial" w:cs="Arial"/>
        </w:rPr>
        <w:t>BB[t] = -1 or BB[t] = 1 are the crossing point.</w:t>
      </w:r>
    </w:p>
    <w:p w14:paraId="03E026D3" w14:textId="77777777" w:rsidR="009D23C3" w:rsidRPr="00EA3AFE" w:rsidRDefault="009D23C3" w:rsidP="009D23C3">
      <w:pPr>
        <w:spacing w:line="480" w:lineRule="auto"/>
        <w:contextualSpacing/>
        <w:rPr>
          <w:rFonts w:ascii="Arial" w:hAnsi="Arial" w:cs="Arial"/>
        </w:rPr>
      </w:pPr>
      <w:r w:rsidRPr="00EA3AFE">
        <w:rPr>
          <w:rFonts w:ascii="Arial" w:hAnsi="Arial" w:cs="Arial"/>
        </w:rPr>
        <w:lastRenderedPageBreak/>
        <w:t>Typically, BB indicator has a value between -1 and 1. When it is outside the range, it is often a trading opportunity (See Figure 2)</w:t>
      </w:r>
    </w:p>
    <w:tbl>
      <w:tblPr>
        <w:tblStyle w:val="TableGrid"/>
        <w:tblW w:w="0" w:type="auto"/>
        <w:tblLook w:val="04A0" w:firstRow="1" w:lastRow="0" w:firstColumn="1" w:lastColumn="0" w:noHBand="0" w:noVBand="1"/>
      </w:tblPr>
      <w:tblGrid>
        <w:gridCol w:w="9350"/>
      </w:tblGrid>
      <w:tr w:rsidR="009B012C" w:rsidRPr="00EA3AFE" w14:paraId="42448A23" w14:textId="77777777" w:rsidTr="009B012C">
        <w:tc>
          <w:tcPr>
            <w:tcW w:w="9350" w:type="dxa"/>
          </w:tcPr>
          <w:p w14:paraId="35DB89DC" w14:textId="5D929275" w:rsidR="009B012C" w:rsidRPr="00EA3AFE" w:rsidRDefault="009B012C" w:rsidP="009D23C3">
            <w:pPr>
              <w:spacing w:line="480" w:lineRule="auto"/>
              <w:contextualSpacing/>
              <w:rPr>
                <w:rFonts w:ascii="Arial" w:hAnsi="Arial" w:cs="Arial"/>
              </w:rPr>
            </w:pPr>
            <w:r w:rsidRPr="00EA3AFE">
              <w:rPr>
                <w:rFonts w:ascii="Arial" w:hAnsi="Arial" w:cs="Arial"/>
                <w:noProof/>
              </w:rPr>
              <w:drawing>
                <wp:inline distT="0" distB="0" distL="0" distR="0" wp14:anchorId="5B098092" wp14:editId="44B37EC4">
                  <wp:extent cx="5791200" cy="31369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_bb_indicator.png"/>
                          <pic:cNvPicPr/>
                        </pic:nvPicPr>
                        <pic:blipFill>
                          <a:blip r:embed="rId8">
                            <a:extLst>
                              <a:ext uri="{28A0092B-C50C-407E-A947-70E740481C1C}">
                                <a14:useLocalDpi xmlns:a14="http://schemas.microsoft.com/office/drawing/2010/main" val="0"/>
                              </a:ext>
                            </a:extLst>
                          </a:blip>
                          <a:stretch>
                            <a:fillRect/>
                          </a:stretch>
                        </pic:blipFill>
                        <pic:spPr>
                          <a:xfrm>
                            <a:off x="0" y="0"/>
                            <a:ext cx="5805895" cy="3144860"/>
                          </a:xfrm>
                          <a:prstGeom prst="rect">
                            <a:avLst/>
                          </a:prstGeom>
                        </pic:spPr>
                      </pic:pic>
                    </a:graphicData>
                  </a:graphic>
                </wp:inline>
              </w:drawing>
            </w:r>
          </w:p>
        </w:tc>
      </w:tr>
      <w:tr w:rsidR="009B012C" w:rsidRPr="00EA3AFE" w14:paraId="3622A057" w14:textId="77777777" w:rsidTr="009B012C">
        <w:tc>
          <w:tcPr>
            <w:tcW w:w="9350" w:type="dxa"/>
          </w:tcPr>
          <w:p w14:paraId="5A742E57" w14:textId="07371AA2" w:rsidR="009B012C" w:rsidRPr="00EA3AFE" w:rsidRDefault="009B012C" w:rsidP="009D23C3">
            <w:pPr>
              <w:spacing w:line="480" w:lineRule="auto"/>
              <w:contextualSpacing/>
              <w:rPr>
                <w:rFonts w:ascii="Arial" w:hAnsi="Arial" w:cs="Arial"/>
              </w:rPr>
            </w:pPr>
            <w:r w:rsidRPr="00EA3AFE">
              <w:rPr>
                <w:rFonts w:ascii="Arial" w:hAnsi="Arial" w:cs="Arial"/>
                <w:sz w:val="21"/>
              </w:rPr>
              <w:t>Figure 2: upper panel, Bollinger Band; lower panel, Bollinger Band indicator (14-day lookback)</w:t>
            </w:r>
          </w:p>
        </w:tc>
      </w:tr>
    </w:tbl>
    <w:p w14:paraId="07521F51" w14:textId="77777777" w:rsidR="006B04CA" w:rsidRPr="00EA3AFE" w:rsidRDefault="006B04CA" w:rsidP="00020592">
      <w:pPr>
        <w:spacing w:line="480" w:lineRule="auto"/>
        <w:contextualSpacing/>
        <w:rPr>
          <w:rFonts w:ascii="Arial" w:hAnsi="Arial" w:cs="Arial"/>
          <w:b/>
          <w:u w:val="single"/>
        </w:rPr>
      </w:pPr>
    </w:p>
    <w:p w14:paraId="706EB6CC" w14:textId="1388EF54" w:rsidR="00020592" w:rsidRPr="00EA3AFE" w:rsidRDefault="00020592" w:rsidP="00020592">
      <w:pPr>
        <w:spacing w:line="480" w:lineRule="auto"/>
        <w:contextualSpacing/>
        <w:rPr>
          <w:rFonts w:ascii="Arial" w:hAnsi="Arial" w:cs="Arial"/>
        </w:rPr>
      </w:pPr>
      <w:r w:rsidRPr="00EA3AFE">
        <w:rPr>
          <w:rFonts w:ascii="Arial" w:hAnsi="Arial" w:cs="Arial"/>
          <w:b/>
          <w:u w:val="single"/>
        </w:rPr>
        <w:t>Momentum</w:t>
      </w:r>
      <w:r w:rsidRPr="00EA3AFE">
        <w:rPr>
          <w:rFonts w:ascii="Arial" w:hAnsi="Arial" w:cs="Arial"/>
        </w:rPr>
        <w:t xml:space="preserve"> is over some number of days how much has the price changed. Positive momentum happens when the current price is higher than the it was on the lookback day. And, negative momentum happens the current price is lower than the price on the lookback day. The pseudo code for how the momentum on a particular day was calculated. </w:t>
      </w:r>
      <w:r w:rsidRPr="00EA3AFE">
        <w:rPr>
          <w:rFonts w:ascii="Arial" w:hAnsi="Arial" w:cs="Arial"/>
        </w:rPr>
        <w:br/>
      </w:r>
      <w:r w:rsidRPr="00EA3AFE">
        <w:rPr>
          <w:rFonts w:ascii="Arial" w:hAnsi="Arial" w:cs="Arial"/>
          <w:i/>
        </w:rPr>
        <w:t xml:space="preserve">    momentum[t] = price[t] / </w:t>
      </w:r>
      <w:proofErr w:type="gramStart"/>
      <w:r w:rsidRPr="00EA3AFE">
        <w:rPr>
          <w:rFonts w:ascii="Arial" w:hAnsi="Arial" w:cs="Arial"/>
          <w:i/>
        </w:rPr>
        <w:t>price[</w:t>
      </w:r>
      <w:proofErr w:type="gramEnd"/>
      <w:r w:rsidRPr="00EA3AFE">
        <w:rPr>
          <w:rFonts w:ascii="Arial" w:hAnsi="Arial" w:cs="Arial"/>
          <w:i/>
        </w:rPr>
        <w:t>t - n] - 1</w:t>
      </w:r>
      <w:r w:rsidRPr="00EA3AFE">
        <w:rPr>
          <w:rFonts w:ascii="Arial" w:hAnsi="Arial" w:cs="Arial"/>
        </w:rPr>
        <w:t>, n is the number of days between two time point.</w:t>
      </w:r>
    </w:p>
    <w:p w14:paraId="5505F2D9" w14:textId="45247A19" w:rsidR="006B04CA" w:rsidRPr="00EA3AFE" w:rsidRDefault="00020592" w:rsidP="006B04CA">
      <w:pPr>
        <w:spacing w:line="480" w:lineRule="auto"/>
        <w:contextualSpacing/>
        <w:rPr>
          <w:rFonts w:ascii="Arial" w:hAnsi="Arial" w:cs="Arial"/>
        </w:rPr>
      </w:pPr>
      <w:r w:rsidRPr="00EA3AFE">
        <w:rPr>
          <w:rFonts w:ascii="Arial" w:hAnsi="Arial" w:cs="Arial"/>
        </w:rPr>
        <w:t xml:space="preserve">    The steepness of that line between</w:t>
      </w:r>
      <w:r w:rsidRPr="00EA3AFE">
        <w:rPr>
          <w:rFonts w:ascii="Arial" w:hAnsi="Arial" w:cs="Arial"/>
          <w:i/>
        </w:rPr>
        <w:t xml:space="preserve"> </w:t>
      </w:r>
      <w:proofErr w:type="gramStart"/>
      <w:r w:rsidRPr="00EA3AFE">
        <w:rPr>
          <w:rFonts w:ascii="Arial" w:hAnsi="Arial" w:cs="Arial"/>
          <w:i/>
        </w:rPr>
        <w:t>price[</w:t>
      </w:r>
      <w:proofErr w:type="gramEnd"/>
      <w:r w:rsidRPr="00EA3AFE">
        <w:rPr>
          <w:rFonts w:ascii="Arial" w:hAnsi="Arial" w:cs="Arial"/>
          <w:i/>
        </w:rPr>
        <w:t xml:space="preserve">t - n] </w:t>
      </w:r>
      <w:r w:rsidRPr="00EA3AFE">
        <w:rPr>
          <w:rFonts w:ascii="Arial" w:hAnsi="Arial" w:cs="Arial"/>
        </w:rPr>
        <w:t>and</w:t>
      </w:r>
      <w:r w:rsidRPr="00EA3AFE">
        <w:rPr>
          <w:rFonts w:ascii="Arial" w:hAnsi="Arial" w:cs="Arial"/>
          <w:i/>
        </w:rPr>
        <w:t xml:space="preserve"> price[t] </w:t>
      </w:r>
      <w:r w:rsidRPr="00EA3AFE">
        <w:rPr>
          <w:rFonts w:ascii="Arial" w:hAnsi="Arial" w:cs="Arial"/>
        </w:rPr>
        <w:t xml:space="preserve">is the strength of the momentum, either positive or negative. Momentum combine with SMA can be used to start a trading policy. E.g., When the stock price has strong momentum, and it's </w:t>
      </w:r>
      <w:r w:rsidRPr="00EA3AFE">
        <w:rPr>
          <w:rFonts w:ascii="Arial" w:hAnsi="Arial" w:cs="Arial"/>
        </w:rPr>
        <w:lastRenderedPageBreak/>
        <w:t xml:space="preserve">crossing through SMA, that can be a signal of trading. Strong positive momentum </w:t>
      </w:r>
      <w:r w:rsidR="00CC784B" w:rsidRPr="00EA3AFE">
        <w:rPr>
          <w:rFonts w:ascii="Arial" w:hAnsi="Arial" w:cs="Arial"/>
        </w:rPr>
        <w:t xml:space="preserve">indicates buy opportunity and negative momentum is sell opportunity. </w:t>
      </w:r>
      <w:r w:rsidR="009B012C" w:rsidRPr="00EA3AFE">
        <w:rPr>
          <w:rFonts w:ascii="Arial" w:hAnsi="Arial" w:cs="Arial"/>
        </w:rPr>
        <w:t xml:space="preserve">momentum[t] </w:t>
      </w:r>
      <w:r w:rsidR="00CC784B" w:rsidRPr="00EA3AFE">
        <w:rPr>
          <w:rFonts w:ascii="Arial" w:hAnsi="Arial" w:cs="Arial"/>
        </w:rPr>
        <w:t xml:space="preserve">has a typical value between -0.5 and 0.5 (Figure 3). </w:t>
      </w:r>
    </w:p>
    <w:tbl>
      <w:tblPr>
        <w:tblStyle w:val="TableGrid"/>
        <w:tblW w:w="0" w:type="auto"/>
        <w:tblLook w:val="04A0" w:firstRow="1" w:lastRow="0" w:firstColumn="1" w:lastColumn="0" w:noHBand="0" w:noVBand="1"/>
      </w:tblPr>
      <w:tblGrid>
        <w:gridCol w:w="9350"/>
      </w:tblGrid>
      <w:tr w:rsidR="006B04CA" w:rsidRPr="00EA3AFE" w14:paraId="68B16E40" w14:textId="77777777" w:rsidTr="00533F5B">
        <w:tc>
          <w:tcPr>
            <w:tcW w:w="9350" w:type="dxa"/>
          </w:tcPr>
          <w:p w14:paraId="60424081" w14:textId="77777777" w:rsidR="006B04CA" w:rsidRPr="00EA3AFE" w:rsidRDefault="006B04CA" w:rsidP="00533F5B">
            <w:pPr>
              <w:spacing w:line="480" w:lineRule="auto"/>
              <w:contextualSpacing/>
              <w:rPr>
                <w:rFonts w:ascii="Arial" w:hAnsi="Arial" w:cs="Arial"/>
              </w:rPr>
            </w:pPr>
            <w:r w:rsidRPr="00EA3AFE">
              <w:rPr>
                <w:rFonts w:ascii="Arial" w:hAnsi="Arial" w:cs="Arial"/>
                <w:noProof/>
              </w:rPr>
              <w:drawing>
                <wp:inline distT="0" distB="0" distL="0" distR="0" wp14:anchorId="1AB323FA" wp14:editId="6577EF4E">
                  <wp:extent cx="5943600" cy="3219450"/>
                  <wp:effectExtent l="0" t="0" r="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_moment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6B04CA" w:rsidRPr="00EA3AFE" w14:paraId="0E84E0DC" w14:textId="77777777" w:rsidTr="00533F5B">
        <w:tc>
          <w:tcPr>
            <w:tcW w:w="9350" w:type="dxa"/>
          </w:tcPr>
          <w:p w14:paraId="79DF81D6" w14:textId="77777777" w:rsidR="006B04CA" w:rsidRPr="00EA3AFE" w:rsidRDefault="006B04CA" w:rsidP="00533F5B">
            <w:pPr>
              <w:spacing w:line="480" w:lineRule="auto"/>
              <w:contextualSpacing/>
              <w:rPr>
                <w:rFonts w:ascii="Arial" w:hAnsi="Arial" w:cs="Arial"/>
              </w:rPr>
            </w:pPr>
            <w:r w:rsidRPr="00EA3AFE">
              <w:rPr>
                <w:rFonts w:ascii="Arial" w:hAnsi="Arial" w:cs="Arial"/>
                <w:sz w:val="22"/>
              </w:rPr>
              <w:t>Figure 3: upper panel, stock price; lower panel, momentum of the stock (14-day lookback)</w:t>
            </w:r>
          </w:p>
        </w:tc>
      </w:tr>
    </w:tbl>
    <w:p w14:paraId="26BDA8EA" w14:textId="77777777" w:rsidR="006B04CA" w:rsidRPr="00EA3AFE" w:rsidRDefault="006B04CA" w:rsidP="00020592">
      <w:pPr>
        <w:spacing w:line="480" w:lineRule="auto"/>
        <w:contextualSpacing/>
        <w:rPr>
          <w:rFonts w:ascii="Arial" w:hAnsi="Arial" w:cs="Arial"/>
        </w:rPr>
      </w:pPr>
    </w:p>
    <w:p w14:paraId="3D8EF750" w14:textId="15DD2434" w:rsidR="009B012C" w:rsidRPr="00EA3AFE" w:rsidRDefault="00CC784B" w:rsidP="009B012C">
      <w:pPr>
        <w:spacing w:line="480" w:lineRule="auto"/>
        <w:contextualSpacing/>
        <w:rPr>
          <w:rFonts w:ascii="Arial" w:hAnsi="Arial" w:cs="Arial"/>
          <w:b/>
        </w:rPr>
      </w:pPr>
      <w:r w:rsidRPr="00EA3AFE">
        <w:rPr>
          <w:rFonts w:ascii="Arial" w:hAnsi="Arial" w:cs="Arial"/>
          <w:b/>
        </w:rPr>
        <w:t>Part 2: Theoretically Optimal Strategy</w:t>
      </w:r>
    </w:p>
    <w:p w14:paraId="7647F77C" w14:textId="0E885DC6" w:rsidR="00020592" w:rsidRPr="00EA3AFE" w:rsidRDefault="006052E7" w:rsidP="00020592">
      <w:pPr>
        <w:autoSpaceDE w:val="0"/>
        <w:autoSpaceDN w:val="0"/>
        <w:adjustRightInd w:val="0"/>
        <w:spacing w:line="480" w:lineRule="auto"/>
        <w:rPr>
          <w:rFonts w:ascii="Arial" w:hAnsi="Arial" w:cs="Arial"/>
        </w:rPr>
      </w:pPr>
      <w:r w:rsidRPr="00EA3AFE">
        <w:rPr>
          <w:rFonts w:ascii="Arial" w:hAnsi="Arial" w:cs="Arial"/>
        </w:rPr>
        <w:t>T</w:t>
      </w:r>
      <w:r w:rsidR="00CC784B" w:rsidRPr="00EA3AFE">
        <w:rPr>
          <w:rFonts w:ascii="Arial" w:hAnsi="Arial" w:cs="Arial"/>
        </w:rPr>
        <w:t>he</w:t>
      </w:r>
      <w:r w:rsidRPr="00EA3AFE">
        <w:rPr>
          <w:rFonts w:ascii="Arial" w:hAnsi="Arial" w:cs="Arial"/>
        </w:rPr>
        <w:t xml:space="preserve"> </w:t>
      </w:r>
      <w:r w:rsidR="00CC784B" w:rsidRPr="00EA3AFE">
        <w:rPr>
          <w:rFonts w:ascii="Arial" w:hAnsi="Arial" w:cs="Arial"/>
        </w:rPr>
        <w:t xml:space="preserve">maximum return on </w:t>
      </w:r>
      <w:r w:rsidRPr="00EA3AFE">
        <w:rPr>
          <w:rFonts w:ascii="Arial" w:hAnsi="Arial" w:cs="Arial"/>
        </w:rPr>
        <w:t>a stock can only be achieved if the daily price of the stack is known</w:t>
      </w:r>
      <w:r w:rsidR="00CC784B" w:rsidRPr="00EA3AFE">
        <w:rPr>
          <w:rFonts w:ascii="Arial" w:hAnsi="Arial" w:cs="Arial"/>
        </w:rPr>
        <w:t xml:space="preserve">. In </w:t>
      </w:r>
      <w:r w:rsidRPr="00EA3AFE">
        <w:rPr>
          <w:rFonts w:ascii="Arial" w:hAnsi="Arial" w:cs="Arial"/>
        </w:rPr>
        <w:t>this case, the theoretically optimal strategy is to long the stock if we know the price will increase the next day. And of course, if the price will drop tomorrow, we will short it today. The strategy will make sure we take advantage of the market no matter what way it goes.</w:t>
      </w:r>
      <w:r w:rsidR="00020592" w:rsidRPr="00EA3AFE">
        <w:rPr>
          <w:rFonts w:ascii="Arial" w:hAnsi="Arial" w:cs="Arial"/>
        </w:rPr>
        <w:t xml:space="preserve"> To evaluate the strategy, we apply the strategy to </w:t>
      </w:r>
      <w:r w:rsidR="00375463" w:rsidRPr="00EA3AFE">
        <w:rPr>
          <w:rFonts w:ascii="Arial" w:hAnsi="Arial" w:cs="Arial"/>
        </w:rPr>
        <w:t xml:space="preserve">JPM stock, using its historical prices from 01/01/2008 to 12/31/2009. </w:t>
      </w:r>
      <w:r w:rsidR="00020592" w:rsidRPr="00EA3AFE">
        <w:rPr>
          <w:rFonts w:ascii="Arial" w:hAnsi="Arial" w:cs="Arial"/>
        </w:rPr>
        <w:t xml:space="preserve"> </w:t>
      </w:r>
      <w:r w:rsidR="00375463" w:rsidRPr="00EA3AFE">
        <w:rPr>
          <w:rFonts w:ascii="Arial" w:eastAsia="Times New Roman" w:hAnsi="Arial" w:cs="Arial"/>
          <w:bCs/>
          <w:color w:val="000000"/>
        </w:rPr>
        <w:t>A benchmark strategy (buy and hold</w:t>
      </w:r>
      <w:r w:rsidR="00375463" w:rsidRPr="00EA3AFE">
        <w:rPr>
          <w:rFonts w:ascii="Arial" w:hAnsi="Arial" w:cs="Arial"/>
        </w:rPr>
        <w:t xml:space="preserve">) were also applied to same data. The net holding of the stock is limited in the range of -1000 to 1000 with a starting value of $100,000. </w:t>
      </w:r>
      <w:r w:rsidR="00020592" w:rsidRPr="00EA3AFE">
        <w:rPr>
          <w:rFonts w:ascii="Arial" w:hAnsi="Arial" w:cs="Arial"/>
        </w:rPr>
        <w:t xml:space="preserve">The final return of the </w:t>
      </w:r>
      <w:r w:rsidR="00020592" w:rsidRPr="00EA3AFE">
        <w:rPr>
          <w:rFonts w:ascii="Arial" w:eastAsia="Times New Roman" w:hAnsi="Arial" w:cs="Arial"/>
          <w:bCs/>
          <w:color w:val="000000"/>
        </w:rPr>
        <w:t xml:space="preserve">Theoretically </w:t>
      </w:r>
      <w:r w:rsidR="00020592" w:rsidRPr="00EA3AFE">
        <w:rPr>
          <w:rFonts w:ascii="Arial" w:eastAsia="Times New Roman" w:hAnsi="Arial" w:cs="Arial"/>
          <w:bCs/>
          <w:color w:val="000000"/>
        </w:rPr>
        <w:lastRenderedPageBreak/>
        <w:t xml:space="preserve">Optimal Strategy </w:t>
      </w:r>
      <w:r w:rsidR="00375463" w:rsidRPr="00EA3AFE">
        <w:rPr>
          <w:rFonts w:ascii="Arial" w:eastAsia="Times New Roman" w:hAnsi="Arial" w:cs="Arial"/>
          <w:bCs/>
          <w:color w:val="000000"/>
        </w:rPr>
        <w:t>performed</w:t>
      </w:r>
      <w:r w:rsidR="00020592" w:rsidRPr="00EA3AFE">
        <w:rPr>
          <w:rFonts w:ascii="Arial" w:eastAsia="Times New Roman" w:hAnsi="Arial" w:cs="Arial"/>
          <w:bCs/>
          <w:color w:val="000000"/>
        </w:rPr>
        <w:t xml:space="preserve"> five times </w:t>
      </w:r>
      <w:r w:rsidR="00375463" w:rsidRPr="00EA3AFE">
        <w:rPr>
          <w:rFonts w:ascii="Arial" w:eastAsia="Times New Roman" w:hAnsi="Arial" w:cs="Arial"/>
          <w:bCs/>
          <w:color w:val="000000"/>
        </w:rPr>
        <w:t>better</w:t>
      </w:r>
      <w:r w:rsidR="00020592" w:rsidRPr="00EA3AFE">
        <w:rPr>
          <w:rFonts w:ascii="Arial" w:eastAsia="Times New Roman" w:hAnsi="Arial" w:cs="Arial"/>
          <w:bCs/>
          <w:color w:val="000000"/>
        </w:rPr>
        <w:t xml:space="preserve"> than the benchmark strategy</w:t>
      </w:r>
      <w:r w:rsidR="00375463" w:rsidRPr="00EA3AFE">
        <w:rPr>
          <w:rFonts w:ascii="Arial" w:eastAsia="Times New Roman" w:hAnsi="Arial" w:cs="Arial"/>
          <w:bCs/>
          <w:color w:val="000000"/>
        </w:rPr>
        <w:t xml:space="preserve"> in terms of the final value of the portfolio</w:t>
      </w:r>
      <w:r w:rsidR="00020592" w:rsidRPr="00EA3AFE">
        <w:rPr>
          <w:rFonts w:ascii="Arial" w:eastAsia="Times New Roman" w:hAnsi="Arial" w:cs="Arial"/>
          <w:bCs/>
          <w:color w:val="000000"/>
        </w:rPr>
        <w:t xml:space="preserve"> (see </w:t>
      </w:r>
      <w:r w:rsidR="005607B1" w:rsidRPr="00EA3AFE">
        <w:rPr>
          <w:rFonts w:ascii="Arial" w:eastAsia="Times New Roman" w:hAnsi="Arial" w:cs="Arial"/>
          <w:bCs/>
          <w:color w:val="000000"/>
        </w:rPr>
        <w:t>T</w:t>
      </w:r>
      <w:r w:rsidR="00020592" w:rsidRPr="00EA3AFE">
        <w:rPr>
          <w:rFonts w:ascii="Arial" w:eastAsia="Times New Roman" w:hAnsi="Arial" w:cs="Arial"/>
          <w:bCs/>
          <w:color w:val="000000"/>
        </w:rPr>
        <w:t xml:space="preserve">able 1 and </w:t>
      </w:r>
      <w:r w:rsidR="005607B1" w:rsidRPr="00EA3AFE">
        <w:rPr>
          <w:rFonts w:ascii="Arial" w:eastAsia="Times New Roman" w:hAnsi="Arial" w:cs="Arial"/>
          <w:bCs/>
          <w:color w:val="000000"/>
        </w:rPr>
        <w:t>F</w:t>
      </w:r>
      <w:r w:rsidR="00020592" w:rsidRPr="00EA3AFE">
        <w:rPr>
          <w:rFonts w:ascii="Arial" w:eastAsia="Times New Roman" w:hAnsi="Arial" w:cs="Arial"/>
          <w:bCs/>
          <w:color w:val="000000"/>
        </w:rPr>
        <w:t>igure 4).</w:t>
      </w:r>
    </w:p>
    <w:p w14:paraId="6CFE0468" w14:textId="7BEDC214" w:rsidR="006052E7" w:rsidRPr="00EA3AFE" w:rsidRDefault="00020592" w:rsidP="00CC784B">
      <w:pPr>
        <w:autoSpaceDE w:val="0"/>
        <w:autoSpaceDN w:val="0"/>
        <w:adjustRightInd w:val="0"/>
        <w:rPr>
          <w:rFonts w:ascii="Arial" w:hAnsi="Arial" w:cs="Arial"/>
        </w:rPr>
      </w:pPr>
      <w:r w:rsidRPr="00EA3AFE">
        <w:rPr>
          <w:rFonts w:ascii="Arial" w:hAnsi="Arial" w:cs="Arial"/>
        </w:rPr>
        <w:t xml:space="preserve">Table 1: </w:t>
      </w:r>
      <w:r w:rsidRPr="00EA3AFE">
        <w:rPr>
          <w:rFonts w:ascii="Arial" w:eastAsia="Times New Roman" w:hAnsi="Arial" w:cs="Arial"/>
          <w:bCs/>
          <w:color w:val="000000"/>
        </w:rPr>
        <w:t>Theoretically Optimal Strategy vs. benchmark</w:t>
      </w:r>
    </w:p>
    <w:tbl>
      <w:tblPr>
        <w:tblW w:w="9715" w:type="dxa"/>
        <w:tblLook w:val="04A0" w:firstRow="1" w:lastRow="0" w:firstColumn="1" w:lastColumn="0" w:noHBand="0" w:noVBand="1"/>
      </w:tblPr>
      <w:tblGrid>
        <w:gridCol w:w="2785"/>
        <w:gridCol w:w="3690"/>
        <w:gridCol w:w="3240"/>
      </w:tblGrid>
      <w:tr w:rsidR="00020592" w:rsidRPr="00EA3AFE" w14:paraId="3903A69A" w14:textId="77777777" w:rsidTr="00020592">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F10DE" w14:textId="77777777" w:rsidR="006052E7" w:rsidRPr="00EA3AFE" w:rsidRDefault="006052E7" w:rsidP="006052E7">
            <w:pPr>
              <w:jc w:val="center"/>
              <w:rPr>
                <w:rFonts w:ascii="Arial" w:eastAsia="Times New Roman" w:hAnsi="Arial" w:cs="Arial"/>
                <w:b/>
                <w:bCs/>
              </w:rPr>
            </w:pPr>
            <w:r w:rsidRPr="00EA3AFE">
              <w:rPr>
                <w:rFonts w:ascii="Arial" w:eastAsia="Times New Roman" w:hAnsi="Arial" w:cs="Arial"/>
                <w:b/>
                <w:bCs/>
              </w:rPr>
              <w:t>Strategy</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2B971F58"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Theoretically Optimal Strategy</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F9A2ED6" w14:textId="33439C52" w:rsidR="006052E7" w:rsidRPr="00EA3AFE" w:rsidRDefault="006052E7" w:rsidP="00020592">
            <w:pPr>
              <w:jc w:val="center"/>
              <w:rPr>
                <w:rFonts w:ascii="Arial" w:eastAsia="Times New Roman" w:hAnsi="Arial" w:cs="Arial"/>
              </w:rPr>
            </w:pPr>
            <w:r w:rsidRPr="00EA3AFE">
              <w:rPr>
                <w:rFonts w:ascii="Arial" w:eastAsia="Times New Roman" w:hAnsi="Arial" w:cs="Arial"/>
                <w:b/>
                <w:bCs/>
              </w:rPr>
              <w:t>Bench</w:t>
            </w:r>
            <w:r w:rsidR="00020592" w:rsidRPr="00EA3AFE">
              <w:rPr>
                <w:rFonts w:ascii="Arial" w:eastAsia="Times New Roman" w:hAnsi="Arial" w:cs="Arial"/>
                <w:b/>
                <w:bCs/>
              </w:rPr>
              <w:t>m</w:t>
            </w:r>
            <w:r w:rsidRPr="00EA3AFE">
              <w:rPr>
                <w:rFonts w:ascii="Arial" w:eastAsia="Times New Roman" w:hAnsi="Arial" w:cs="Arial"/>
                <w:b/>
                <w:bCs/>
              </w:rPr>
              <w:t>ark</w:t>
            </w:r>
          </w:p>
        </w:tc>
      </w:tr>
      <w:tr w:rsidR="00020592" w:rsidRPr="00EA3AFE" w14:paraId="53868A10"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C1B3A22"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Sharpe Ratio</w:t>
            </w:r>
          </w:p>
        </w:tc>
        <w:tc>
          <w:tcPr>
            <w:tcW w:w="3690" w:type="dxa"/>
            <w:tcBorders>
              <w:top w:val="nil"/>
              <w:left w:val="nil"/>
              <w:bottom w:val="single" w:sz="4" w:space="0" w:color="auto"/>
              <w:right w:val="single" w:sz="4" w:space="0" w:color="auto"/>
            </w:tcBorders>
            <w:shd w:val="clear" w:color="auto" w:fill="auto"/>
            <w:noWrap/>
            <w:vAlign w:val="bottom"/>
            <w:hideMark/>
          </w:tcPr>
          <w:p w14:paraId="1B92228A"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13.3650848</w:t>
            </w:r>
          </w:p>
        </w:tc>
        <w:tc>
          <w:tcPr>
            <w:tcW w:w="3240" w:type="dxa"/>
            <w:tcBorders>
              <w:top w:val="nil"/>
              <w:left w:val="nil"/>
              <w:bottom w:val="single" w:sz="4" w:space="0" w:color="auto"/>
              <w:right w:val="single" w:sz="4" w:space="0" w:color="auto"/>
            </w:tcBorders>
            <w:shd w:val="clear" w:color="auto" w:fill="auto"/>
            <w:noWrap/>
            <w:vAlign w:val="bottom"/>
            <w:hideMark/>
          </w:tcPr>
          <w:p w14:paraId="5043C918"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0.15691841</w:t>
            </w:r>
          </w:p>
        </w:tc>
      </w:tr>
      <w:tr w:rsidR="00020592" w:rsidRPr="00EA3AFE" w14:paraId="71C63F95"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B6B7AAD"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Cumulative Return</w:t>
            </w:r>
          </w:p>
        </w:tc>
        <w:tc>
          <w:tcPr>
            <w:tcW w:w="3690" w:type="dxa"/>
            <w:tcBorders>
              <w:top w:val="nil"/>
              <w:left w:val="nil"/>
              <w:bottom w:val="single" w:sz="4" w:space="0" w:color="auto"/>
              <w:right w:val="single" w:sz="4" w:space="0" w:color="auto"/>
            </w:tcBorders>
            <w:shd w:val="clear" w:color="auto" w:fill="auto"/>
            <w:noWrap/>
            <w:vAlign w:val="bottom"/>
            <w:hideMark/>
          </w:tcPr>
          <w:p w14:paraId="154E2A26"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5.7844</w:t>
            </w:r>
          </w:p>
        </w:tc>
        <w:tc>
          <w:tcPr>
            <w:tcW w:w="3240" w:type="dxa"/>
            <w:tcBorders>
              <w:top w:val="nil"/>
              <w:left w:val="nil"/>
              <w:bottom w:val="single" w:sz="4" w:space="0" w:color="auto"/>
              <w:right w:val="single" w:sz="4" w:space="0" w:color="auto"/>
            </w:tcBorders>
            <w:shd w:val="clear" w:color="auto" w:fill="auto"/>
            <w:noWrap/>
            <w:vAlign w:val="bottom"/>
            <w:hideMark/>
          </w:tcPr>
          <w:p w14:paraId="72B3AB79"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0.0123</w:t>
            </w:r>
          </w:p>
        </w:tc>
      </w:tr>
      <w:tr w:rsidR="00020592" w:rsidRPr="00EA3AFE" w14:paraId="42B45FB8"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D82366E"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Standard deviation</w:t>
            </w:r>
          </w:p>
        </w:tc>
        <w:tc>
          <w:tcPr>
            <w:tcW w:w="3690" w:type="dxa"/>
            <w:tcBorders>
              <w:top w:val="nil"/>
              <w:left w:val="nil"/>
              <w:bottom w:val="single" w:sz="4" w:space="0" w:color="auto"/>
              <w:right w:val="single" w:sz="4" w:space="0" w:color="auto"/>
            </w:tcBorders>
            <w:shd w:val="clear" w:color="auto" w:fill="auto"/>
            <w:noWrap/>
            <w:vAlign w:val="bottom"/>
            <w:hideMark/>
          </w:tcPr>
          <w:p w14:paraId="676F0B2D"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0.00455089</w:t>
            </w:r>
          </w:p>
        </w:tc>
        <w:tc>
          <w:tcPr>
            <w:tcW w:w="3240" w:type="dxa"/>
            <w:tcBorders>
              <w:top w:val="nil"/>
              <w:left w:val="nil"/>
              <w:bottom w:val="single" w:sz="4" w:space="0" w:color="auto"/>
              <w:right w:val="single" w:sz="4" w:space="0" w:color="auto"/>
            </w:tcBorders>
            <w:shd w:val="clear" w:color="auto" w:fill="auto"/>
            <w:noWrap/>
            <w:vAlign w:val="bottom"/>
            <w:hideMark/>
          </w:tcPr>
          <w:p w14:paraId="2A0CA8CC"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0.01700437</w:t>
            </w:r>
          </w:p>
        </w:tc>
      </w:tr>
      <w:tr w:rsidR="00020592" w:rsidRPr="00EA3AFE" w14:paraId="728A9774"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CC8E5DF" w14:textId="7C5BC879"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Average daily Return</w:t>
            </w:r>
          </w:p>
        </w:tc>
        <w:tc>
          <w:tcPr>
            <w:tcW w:w="3690" w:type="dxa"/>
            <w:tcBorders>
              <w:top w:val="nil"/>
              <w:left w:val="nil"/>
              <w:bottom w:val="single" w:sz="4" w:space="0" w:color="auto"/>
              <w:right w:val="single" w:sz="4" w:space="0" w:color="auto"/>
            </w:tcBorders>
            <w:shd w:val="clear" w:color="auto" w:fill="auto"/>
            <w:noWrap/>
            <w:vAlign w:val="bottom"/>
            <w:hideMark/>
          </w:tcPr>
          <w:p w14:paraId="62274F30"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0.00383149</w:t>
            </w:r>
          </w:p>
        </w:tc>
        <w:tc>
          <w:tcPr>
            <w:tcW w:w="3240" w:type="dxa"/>
            <w:tcBorders>
              <w:top w:val="nil"/>
              <w:left w:val="nil"/>
              <w:bottom w:val="single" w:sz="4" w:space="0" w:color="auto"/>
              <w:right w:val="single" w:sz="4" w:space="0" w:color="auto"/>
            </w:tcBorders>
            <w:shd w:val="clear" w:color="auto" w:fill="auto"/>
            <w:noWrap/>
            <w:vAlign w:val="bottom"/>
            <w:hideMark/>
          </w:tcPr>
          <w:p w14:paraId="1915C09A"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0.00016809</w:t>
            </w:r>
          </w:p>
        </w:tc>
      </w:tr>
      <w:tr w:rsidR="00020592" w:rsidRPr="00EA3AFE" w14:paraId="2DDD5AD6"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9E1303B"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Final Value</w:t>
            </w:r>
          </w:p>
        </w:tc>
        <w:tc>
          <w:tcPr>
            <w:tcW w:w="3690" w:type="dxa"/>
            <w:tcBorders>
              <w:top w:val="nil"/>
              <w:left w:val="nil"/>
              <w:bottom w:val="single" w:sz="4" w:space="0" w:color="auto"/>
              <w:right w:val="single" w:sz="4" w:space="0" w:color="auto"/>
            </w:tcBorders>
            <w:shd w:val="clear" w:color="auto" w:fill="auto"/>
            <w:noWrap/>
            <w:vAlign w:val="bottom"/>
            <w:hideMark/>
          </w:tcPr>
          <w:p w14:paraId="5F042145" w14:textId="13AB6D69" w:rsidR="006052E7" w:rsidRPr="00EA3AFE" w:rsidRDefault="00020592" w:rsidP="00020592">
            <w:pPr>
              <w:jc w:val="center"/>
              <w:rPr>
                <w:rFonts w:ascii="Arial" w:hAnsi="Arial" w:cs="Arial"/>
                <w:color w:val="000000"/>
              </w:rPr>
            </w:pPr>
            <w:r w:rsidRPr="00EA3AFE">
              <w:rPr>
                <w:rFonts w:ascii="Arial" w:hAnsi="Arial" w:cs="Arial"/>
                <w:color w:val="000000"/>
              </w:rPr>
              <w:t xml:space="preserve">$678,440.00 </w:t>
            </w:r>
          </w:p>
        </w:tc>
        <w:tc>
          <w:tcPr>
            <w:tcW w:w="3240" w:type="dxa"/>
            <w:tcBorders>
              <w:top w:val="nil"/>
              <w:left w:val="nil"/>
              <w:bottom w:val="single" w:sz="4" w:space="0" w:color="auto"/>
              <w:right w:val="single" w:sz="4" w:space="0" w:color="auto"/>
            </w:tcBorders>
            <w:shd w:val="clear" w:color="auto" w:fill="auto"/>
            <w:noWrap/>
            <w:vAlign w:val="bottom"/>
            <w:hideMark/>
          </w:tcPr>
          <w:p w14:paraId="3C7D4C1A" w14:textId="1B8C4C71" w:rsidR="006052E7" w:rsidRPr="00EA3AFE" w:rsidRDefault="00020592" w:rsidP="00020592">
            <w:pPr>
              <w:jc w:val="center"/>
              <w:rPr>
                <w:rFonts w:ascii="Arial" w:hAnsi="Arial" w:cs="Arial"/>
                <w:color w:val="000000"/>
              </w:rPr>
            </w:pPr>
            <w:r w:rsidRPr="00EA3AFE">
              <w:rPr>
                <w:rFonts w:ascii="Arial" w:hAnsi="Arial" w:cs="Arial"/>
                <w:color w:val="000000"/>
              </w:rPr>
              <w:t xml:space="preserve">$ 101,230.00 </w:t>
            </w:r>
          </w:p>
        </w:tc>
      </w:tr>
    </w:tbl>
    <w:p w14:paraId="5BBF9283" w14:textId="5F64813B" w:rsidR="006052E7" w:rsidRPr="00EA3AFE" w:rsidRDefault="006052E7" w:rsidP="00CC784B">
      <w:pPr>
        <w:autoSpaceDE w:val="0"/>
        <w:autoSpaceDN w:val="0"/>
        <w:adjustRightInd w:val="0"/>
        <w:rPr>
          <w:rFonts w:ascii="Arial" w:hAnsi="Arial" w:cs="Arial"/>
        </w:rPr>
      </w:pPr>
    </w:p>
    <w:p w14:paraId="2DBEA5E0" w14:textId="77777777" w:rsidR="006052E7" w:rsidRPr="00EA3AFE" w:rsidRDefault="006052E7" w:rsidP="00CC784B">
      <w:pPr>
        <w:autoSpaceDE w:val="0"/>
        <w:autoSpaceDN w:val="0"/>
        <w:adjustRightInd w:val="0"/>
        <w:rPr>
          <w:rFonts w:ascii="Arial" w:hAnsi="Arial" w:cs="Arial"/>
        </w:rPr>
      </w:pPr>
    </w:p>
    <w:tbl>
      <w:tblPr>
        <w:tblStyle w:val="TableGrid"/>
        <w:tblW w:w="0" w:type="auto"/>
        <w:tblLook w:val="04A0" w:firstRow="1" w:lastRow="0" w:firstColumn="1" w:lastColumn="0" w:noHBand="0" w:noVBand="1"/>
      </w:tblPr>
      <w:tblGrid>
        <w:gridCol w:w="9350"/>
      </w:tblGrid>
      <w:tr w:rsidR="006052E7" w:rsidRPr="00EA3AFE" w14:paraId="2AE2C99B" w14:textId="77777777" w:rsidTr="00020592">
        <w:trPr>
          <w:trHeight w:val="3408"/>
        </w:trPr>
        <w:tc>
          <w:tcPr>
            <w:tcW w:w="7520" w:type="dxa"/>
          </w:tcPr>
          <w:p w14:paraId="2D302406" w14:textId="1164ACFC" w:rsidR="006052E7" w:rsidRPr="00EA3AFE" w:rsidRDefault="006052E7" w:rsidP="00CC784B">
            <w:pPr>
              <w:autoSpaceDE w:val="0"/>
              <w:autoSpaceDN w:val="0"/>
              <w:adjustRightInd w:val="0"/>
              <w:rPr>
                <w:rFonts w:ascii="Arial" w:hAnsi="Arial" w:cs="Arial"/>
              </w:rPr>
            </w:pPr>
            <w:r w:rsidRPr="00EA3AFE">
              <w:rPr>
                <w:rFonts w:ascii="Arial" w:hAnsi="Arial" w:cs="Arial"/>
                <w:noProof/>
              </w:rPr>
              <w:drawing>
                <wp:inline distT="0" distB="0" distL="0" distR="0" wp14:anchorId="5E4CF5CB" wp14:editId="497E5A11">
                  <wp:extent cx="5943600" cy="32194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TO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6052E7" w:rsidRPr="00EA3AFE" w14:paraId="60F436FF" w14:textId="77777777" w:rsidTr="00020592">
        <w:trPr>
          <w:trHeight w:val="180"/>
        </w:trPr>
        <w:tc>
          <w:tcPr>
            <w:tcW w:w="7520" w:type="dxa"/>
          </w:tcPr>
          <w:p w14:paraId="595D0777" w14:textId="6FC8245E" w:rsidR="006052E7" w:rsidRPr="00EA3AFE" w:rsidRDefault="006052E7" w:rsidP="00CC784B">
            <w:pPr>
              <w:autoSpaceDE w:val="0"/>
              <w:autoSpaceDN w:val="0"/>
              <w:adjustRightInd w:val="0"/>
              <w:rPr>
                <w:rFonts w:ascii="Arial" w:hAnsi="Arial" w:cs="Arial"/>
              </w:rPr>
            </w:pPr>
            <w:r w:rsidRPr="00EA3AFE">
              <w:rPr>
                <w:rFonts w:ascii="Arial" w:hAnsi="Arial" w:cs="Arial"/>
              </w:rPr>
              <w:t>Figure 4: Theoretically Optimal Strategy</w:t>
            </w:r>
          </w:p>
        </w:tc>
      </w:tr>
    </w:tbl>
    <w:p w14:paraId="0B29D66C" w14:textId="77777777" w:rsidR="0008329C" w:rsidRPr="00EA3AFE" w:rsidRDefault="0008329C" w:rsidP="00AE4EDA">
      <w:pPr>
        <w:contextualSpacing/>
        <w:rPr>
          <w:rFonts w:ascii="Arial" w:hAnsi="Arial" w:cs="Arial"/>
        </w:rPr>
      </w:pPr>
    </w:p>
    <w:p w14:paraId="53591B94" w14:textId="77777777" w:rsidR="006B04CA" w:rsidRPr="00EA3AFE" w:rsidRDefault="0008329C" w:rsidP="00856731">
      <w:pPr>
        <w:spacing w:line="480" w:lineRule="auto"/>
        <w:contextualSpacing/>
        <w:rPr>
          <w:rFonts w:ascii="Arial" w:hAnsi="Arial" w:cs="Arial"/>
          <w:b/>
          <w:noProof/>
        </w:rPr>
      </w:pPr>
      <w:r w:rsidRPr="00EA3AFE">
        <w:rPr>
          <w:rFonts w:ascii="Arial" w:hAnsi="Arial" w:cs="Arial"/>
          <w:b/>
        </w:rPr>
        <w:t>Part 3: Manual Rule-Based Strategy</w:t>
      </w:r>
      <w:r w:rsidRPr="00EA3AFE">
        <w:rPr>
          <w:rFonts w:ascii="Arial" w:hAnsi="Arial" w:cs="Arial"/>
          <w:b/>
          <w:noProof/>
        </w:rPr>
        <w:t xml:space="preserve"> </w:t>
      </w:r>
    </w:p>
    <w:p w14:paraId="089ECC0E" w14:textId="6EA590CC" w:rsidR="006B04CA" w:rsidRPr="00EA3AFE" w:rsidRDefault="006B04CA" w:rsidP="00856731">
      <w:pPr>
        <w:spacing w:line="480" w:lineRule="auto"/>
        <w:contextualSpacing/>
        <w:rPr>
          <w:rFonts w:ascii="Arial" w:hAnsi="Arial" w:cs="Arial"/>
          <w:noProof/>
        </w:rPr>
      </w:pPr>
      <w:r w:rsidRPr="00EA3AFE">
        <w:rPr>
          <w:rFonts w:ascii="Arial" w:hAnsi="Arial" w:cs="Arial"/>
          <w:noProof/>
        </w:rPr>
        <w:t>For my manual strategy, I used all the indicators introduced above. The rule I chose is that when PSR is negative (price is lower than SMA) and BB indicator is smaller than -0.8 (when it is close to the lower band), and when we see a strong negative momentum, I chose to buy the stock hoping to make money since they might regress to SMA soon.</w:t>
      </w:r>
    </w:p>
    <w:p w14:paraId="57B6CDAF" w14:textId="1AFD9EFF" w:rsidR="006B04CA" w:rsidRPr="00EA3AFE" w:rsidRDefault="006B04CA" w:rsidP="00856731">
      <w:pPr>
        <w:spacing w:line="480" w:lineRule="auto"/>
        <w:contextualSpacing/>
        <w:rPr>
          <w:rFonts w:ascii="Arial" w:hAnsi="Arial" w:cs="Arial"/>
          <w:noProof/>
        </w:rPr>
      </w:pPr>
    </w:p>
    <w:p w14:paraId="2C7ECB6D" w14:textId="4E789D81" w:rsidR="006B04CA" w:rsidRPr="00EA3AFE" w:rsidRDefault="006B04CA" w:rsidP="00856731">
      <w:pPr>
        <w:spacing w:line="480" w:lineRule="auto"/>
        <w:contextualSpacing/>
        <w:rPr>
          <w:rFonts w:ascii="Arial" w:hAnsi="Arial" w:cs="Arial"/>
          <w:noProof/>
        </w:rPr>
      </w:pPr>
      <w:r w:rsidRPr="00EA3AFE">
        <w:rPr>
          <w:rFonts w:ascii="Arial" w:hAnsi="Arial" w:cs="Arial"/>
          <w:noProof/>
        </w:rPr>
        <w:lastRenderedPageBreak/>
        <w:t>When the PSR is positive (price is higher than SMA) and BB indicator is larger than -0.8 (when it is close to the upper band), and when we see a strong positive momentum, I chose to sell the stock.</w:t>
      </w:r>
      <w:r w:rsidR="00856731" w:rsidRPr="00EA3AFE">
        <w:rPr>
          <w:rFonts w:ascii="Arial" w:hAnsi="Arial" w:cs="Arial"/>
          <w:noProof/>
        </w:rPr>
        <w:t xml:space="preserve"> </w:t>
      </w:r>
      <w:r w:rsidRPr="00EA3AFE">
        <w:rPr>
          <w:rFonts w:ascii="Arial" w:hAnsi="Arial" w:cs="Arial"/>
          <w:noProof/>
        </w:rPr>
        <w:t>This strategy should ride along when the market is positive but will do better when the market is negative.</w:t>
      </w:r>
    </w:p>
    <w:p w14:paraId="6D2129A4" w14:textId="36F2BAF5" w:rsidR="006B04CA" w:rsidRDefault="006B04CA" w:rsidP="00856731">
      <w:pPr>
        <w:spacing w:line="480" w:lineRule="auto"/>
        <w:contextualSpacing/>
        <w:rPr>
          <w:rFonts w:ascii="Arial" w:hAnsi="Arial" w:cs="Arial"/>
          <w:noProof/>
        </w:rPr>
      </w:pPr>
      <w:r w:rsidRPr="00EA3AFE">
        <w:rPr>
          <w:rFonts w:ascii="Arial" w:hAnsi="Arial" w:cs="Arial"/>
          <w:noProof/>
        </w:rPr>
        <w:t xml:space="preserve">The results of the manual strategy were tested </w:t>
      </w:r>
      <w:r w:rsidR="00856731" w:rsidRPr="00EA3AFE">
        <w:rPr>
          <w:rFonts w:ascii="Arial" w:hAnsi="Arial" w:cs="Arial"/>
          <w:noProof/>
        </w:rPr>
        <w:t xml:space="preserve">in sample and out sample using the JPM stock prices from 01/01/2008 to 12/31/2009 and stock prices from 01/01/2010 and 12/31/2011, respectively. </w:t>
      </w:r>
      <w:r w:rsidR="00EA3AFE">
        <w:rPr>
          <w:rFonts w:ascii="Arial" w:hAnsi="Arial" w:cs="Arial"/>
          <w:noProof/>
        </w:rPr>
        <w:t>The results are summarized in Table 2, Figure 5 and Figure 6.</w:t>
      </w:r>
    </w:p>
    <w:p w14:paraId="18FB1CA0" w14:textId="03CEE0E7" w:rsidR="00EA3AFE" w:rsidRPr="00EA3AFE" w:rsidRDefault="00EA3AFE" w:rsidP="00856731">
      <w:pPr>
        <w:spacing w:line="480" w:lineRule="auto"/>
        <w:contextualSpacing/>
        <w:rPr>
          <w:rFonts w:ascii="Arial" w:hAnsi="Arial" w:cs="Arial"/>
          <w:noProof/>
        </w:rPr>
      </w:pPr>
      <w:r>
        <w:rPr>
          <w:rFonts w:ascii="Arial" w:hAnsi="Arial" w:cs="Arial"/>
          <w:noProof/>
        </w:rPr>
        <w:t xml:space="preserve">    Overall both the in-sample and out sample analysis showed that the manual strategy performed better then the benchmarks. The strategy has a higher cumulative return in both the in-sample time period and the out sample period and did significantly better in returnes (cumulated and average returns). At the same time, the volicities of the portfolio are compatible with the the benchmarks</w:t>
      </w:r>
    </w:p>
    <w:p w14:paraId="2F8B3247" w14:textId="35080791" w:rsidR="006B04CA" w:rsidRPr="00EA3AFE" w:rsidRDefault="00EA3AFE" w:rsidP="006B04CA">
      <w:pPr>
        <w:contextualSpacing/>
        <w:rPr>
          <w:rFonts w:ascii="Arial" w:eastAsia="Times New Roman" w:hAnsi="Arial" w:cs="Arial"/>
          <w:color w:val="000000"/>
          <w:sz w:val="20"/>
          <w:szCs w:val="18"/>
        </w:rPr>
      </w:pPr>
      <w:r w:rsidRPr="00EA3AFE">
        <w:rPr>
          <w:rFonts w:ascii="Arial" w:eastAsia="Times New Roman" w:hAnsi="Arial" w:cs="Arial"/>
          <w:color w:val="000000"/>
          <w:sz w:val="20"/>
          <w:szCs w:val="18"/>
        </w:rPr>
        <w:t>Table 2</w:t>
      </w:r>
      <w:r>
        <w:rPr>
          <w:rFonts w:ascii="Arial" w:eastAsia="Times New Roman" w:hAnsi="Arial" w:cs="Arial"/>
          <w:color w:val="000000"/>
          <w:sz w:val="20"/>
          <w:szCs w:val="18"/>
        </w:rPr>
        <w:t>: Manual strategy performance</w:t>
      </w:r>
    </w:p>
    <w:tbl>
      <w:tblPr>
        <w:tblW w:w="10013" w:type="dxa"/>
        <w:tblInd w:w="-5" w:type="dxa"/>
        <w:tblLook w:val="04A0" w:firstRow="1" w:lastRow="0" w:firstColumn="1" w:lastColumn="0" w:noHBand="0" w:noVBand="1"/>
      </w:tblPr>
      <w:tblGrid>
        <w:gridCol w:w="2430"/>
        <w:gridCol w:w="1890"/>
        <w:gridCol w:w="1800"/>
        <w:gridCol w:w="1980"/>
        <w:gridCol w:w="1913"/>
      </w:tblGrid>
      <w:tr w:rsidR="00856731" w:rsidRPr="00EA3AFE" w14:paraId="4EA0CC5C" w14:textId="77777777" w:rsidTr="00E61380">
        <w:trPr>
          <w:trHeight w:val="320"/>
        </w:trPr>
        <w:tc>
          <w:tcPr>
            <w:tcW w:w="2430" w:type="dxa"/>
            <w:tcBorders>
              <w:top w:val="single" w:sz="4" w:space="0" w:color="auto"/>
              <w:left w:val="single" w:sz="4" w:space="0" w:color="auto"/>
              <w:bottom w:val="single" w:sz="4" w:space="0" w:color="auto"/>
              <w:right w:val="single" w:sz="4" w:space="0" w:color="auto"/>
            </w:tcBorders>
            <w:shd w:val="clear" w:color="auto" w:fill="auto"/>
            <w:noWrap/>
            <w:hideMark/>
          </w:tcPr>
          <w:p w14:paraId="51DCDD14"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 </w:t>
            </w:r>
          </w:p>
        </w:tc>
        <w:tc>
          <w:tcPr>
            <w:tcW w:w="3690" w:type="dxa"/>
            <w:gridSpan w:val="2"/>
            <w:tcBorders>
              <w:top w:val="single" w:sz="4" w:space="0" w:color="auto"/>
              <w:left w:val="nil"/>
              <w:bottom w:val="single" w:sz="4" w:space="0" w:color="auto"/>
              <w:right w:val="single" w:sz="4" w:space="0" w:color="000000"/>
            </w:tcBorders>
            <w:shd w:val="clear" w:color="auto" w:fill="auto"/>
            <w:noWrap/>
            <w:hideMark/>
          </w:tcPr>
          <w:p w14:paraId="211A2973"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In-Sample Analysis</w:t>
            </w:r>
          </w:p>
        </w:tc>
        <w:tc>
          <w:tcPr>
            <w:tcW w:w="3893" w:type="dxa"/>
            <w:gridSpan w:val="2"/>
            <w:tcBorders>
              <w:top w:val="single" w:sz="4" w:space="0" w:color="auto"/>
              <w:left w:val="nil"/>
              <w:bottom w:val="single" w:sz="4" w:space="0" w:color="auto"/>
              <w:right w:val="single" w:sz="4" w:space="0" w:color="000000"/>
            </w:tcBorders>
            <w:shd w:val="clear" w:color="auto" w:fill="auto"/>
            <w:noWrap/>
            <w:hideMark/>
          </w:tcPr>
          <w:p w14:paraId="03B4EACF"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Out Sample Analysis</w:t>
            </w:r>
          </w:p>
        </w:tc>
      </w:tr>
      <w:tr w:rsidR="00856731" w:rsidRPr="00EA3AFE" w14:paraId="4036D78A"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09CCB201" w14:textId="77777777" w:rsidR="00856731" w:rsidRPr="00EA3AFE" w:rsidRDefault="00856731" w:rsidP="00856731">
            <w:pPr>
              <w:rPr>
                <w:rFonts w:ascii="Arial" w:eastAsia="Times New Roman" w:hAnsi="Arial" w:cs="Arial"/>
                <w:color w:val="000000"/>
                <w:sz w:val="21"/>
              </w:rPr>
            </w:pPr>
            <w:r w:rsidRPr="00EA3AFE">
              <w:rPr>
                <w:rFonts w:ascii="Arial" w:eastAsia="Times New Roman" w:hAnsi="Arial" w:cs="Arial"/>
                <w:color w:val="000000"/>
                <w:sz w:val="21"/>
              </w:rPr>
              <w:t> </w:t>
            </w:r>
          </w:p>
        </w:tc>
        <w:tc>
          <w:tcPr>
            <w:tcW w:w="1890" w:type="dxa"/>
            <w:tcBorders>
              <w:top w:val="nil"/>
              <w:left w:val="nil"/>
              <w:bottom w:val="single" w:sz="4" w:space="0" w:color="auto"/>
              <w:right w:val="single" w:sz="4" w:space="0" w:color="auto"/>
            </w:tcBorders>
            <w:shd w:val="clear" w:color="auto" w:fill="auto"/>
            <w:noWrap/>
            <w:hideMark/>
          </w:tcPr>
          <w:p w14:paraId="0CD575E8"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Manual Strategy</w:t>
            </w:r>
          </w:p>
        </w:tc>
        <w:tc>
          <w:tcPr>
            <w:tcW w:w="1800" w:type="dxa"/>
            <w:tcBorders>
              <w:top w:val="nil"/>
              <w:left w:val="nil"/>
              <w:bottom w:val="single" w:sz="4" w:space="0" w:color="auto"/>
              <w:right w:val="single" w:sz="4" w:space="0" w:color="auto"/>
            </w:tcBorders>
            <w:shd w:val="clear" w:color="auto" w:fill="auto"/>
            <w:noWrap/>
            <w:hideMark/>
          </w:tcPr>
          <w:p w14:paraId="7418F8D4"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Benchmark</w:t>
            </w:r>
          </w:p>
        </w:tc>
        <w:tc>
          <w:tcPr>
            <w:tcW w:w="1980" w:type="dxa"/>
            <w:tcBorders>
              <w:top w:val="nil"/>
              <w:left w:val="nil"/>
              <w:bottom w:val="single" w:sz="4" w:space="0" w:color="auto"/>
              <w:right w:val="single" w:sz="4" w:space="0" w:color="auto"/>
            </w:tcBorders>
            <w:shd w:val="clear" w:color="auto" w:fill="auto"/>
            <w:noWrap/>
            <w:hideMark/>
          </w:tcPr>
          <w:p w14:paraId="7D0EDC04"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Manual Strategy</w:t>
            </w:r>
          </w:p>
        </w:tc>
        <w:tc>
          <w:tcPr>
            <w:tcW w:w="1913" w:type="dxa"/>
            <w:tcBorders>
              <w:top w:val="nil"/>
              <w:left w:val="nil"/>
              <w:bottom w:val="single" w:sz="4" w:space="0" w:color="auto"/>
              <w:right w:val="single" w:sz="4" w:space="0" w:color="auto"/>
            </w:tcBorders>
            <w:shd w:val="clear" w:color="auto" w:fill="auto"/>
            <w:noWrap/>
            <w:hideMark/>
          </w:tcPr>
          <w:p w14:paraId="3E1B8129"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Benchmark</w:t>
            </w:r>
          </w:p>
        </w:tc>
      </w:tr>
      <w:tr w:rsidR="00856731" w:rsidRPr="00EA3AFE" w14:paraId="0FD934F5"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2F79437"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Sharpe Ratio</w:t>
            </w:r>
          </w:p>
        </w:tc>
        <w:tc>
          <w:tcPr>
            <w:tcW w:w="1890" w:type="dxa"/>
            <w:tcBorders>
              <w:top w:val="nil"/>
              <w:left w:val="nil"/>
              <w:bottom w:val="single" w:sz="4" w:space="0" w:color="auto"/>
              <w:right w:val="single" w:sz="4" w:space="0" w:color="auto"/>
            </w:tcBorders>
            <w:shd w:val="clear" w:color="auto" w:fill="auto"/>
            <w:noWrap/>
            <w:hideMark/>
          </w:tcPr>
          <w:p w14:paraId="3EFDB59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0.777816675</w:t>
            </w:r>
          </w:p>
        </w:tc>
        <w:tc>
          <w:tcPr>
            <w:tcW w:w="1800" w:type="dxa"/>
            <w:tcBorders>
              <w:top w:val="nil"/>
              <w:left w:val="nil"/>
              <w:bottom w:val="single" w:sz="4" w:space="0" w:color="auto"/>
              <w:right w:val="single" w:sz="4" w:space="0" w:color="auto"/>
            </w:tcBorders>
            <w:shd w:val="clear" w:color="auto" w:fill="auto"/>
            <w:noWrap/>
            <w:hideMark/>
          </w:tcPr>
          <w:p w14:paraId="262CDAE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0.15702281</w:t>
            </w:r>
          </w:p>
        </w:tc>
        <w:tc>
          <w:tcPr>
            <w:tcW w:w="1980" w:type="dxa"/>
            <w:tcBorders>
              <w:top w:val="nil"/>
              <w:left w:val="nil"/>
              <w:bottom w:val="single" w:sz="4" w:space="0" w:color="auto"/>
              <w:right w:val="single" w:sz="4" w:space="0" w:color="auto"/>
            </w:tcBorders>
            <w:shd w:val="clear" w:color="auto" w:fill="auto"/>
            <w:noWrap/>
            <w:hideMark/>
          </w:tcPr>
          <w:p w14:paraId="21D73A85"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1.129318386</w:t>
            </w:r>
          </w:p>
        </w:tc>
        <w:tc>
          <w:tcPr>
            <w:tcW w:w="1913" w:type="dxa"/>
            <w:tcBorders>
              <w:top w:val="nil"/>
              <w:left w:val="nil"/>
              <w:bottom w:val="single" w:sz="4" w:space="0" w:color="auto"/>
              <w:right w:val="single" w:sz="4" w:space="0" w:color="auto"/>
            </w:tcBorders>
            <w:shd w:val="clear" w:color="auto" w:fill="auto"/>
            <w:noWrap/>
            <w:hideMark/>
          </w:tcPr>
          <w:p w14:paraId="58ECCF4A"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-0.25705856</w:t>
            </w:r>
          </w:p>
        </w:tc>
      </w:tr>
      <w:tr w:rsidR="00856731" w:rsidRPr="00EA3AFE" w14:paraId="115C4C9F"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AD16423" w14:textId="559955A8" w:rsidR="00856731" w:rsidRPr="00E61380" w:rsidRDefault="00EA3AFE" w:rsidP="00856731">
            <w:pPr>
              <w:rPr>
                <w:rFonts w:ascii="Arial" w:eastAsia="Times New Roman" w:hAnsi="Arial" w:cs="Arial"/>
                <w:b/>
                <w:color w:val="000000"/>
                <w:sz w:val="21"/>
              </w:rPr>
            </w:pPr>
            <w:r w:rsidRPr="00E61380">
              <w:rPr>
                <w:rFonts w:ascii="Arial" w:eastAsia="Times New Roman" w:hAnsi="Arial" w:cs="Arial"/>
                <w:b/>
                <w:color w:val="000000"/>
                <w:sz w:val="21"/>
              </w:rPr>
              <w:t>Cumulative</w:t>
            </w:r>
            <w:r w:rsidR="00856731" w:rsidRPr="00E61380">
              <w:rPr>
                <w:rFonts w:ascii="Arial" w:eastAsia="Times New Roman" w:hAnsi="Arial" w:cs="Arial"/>
                <w:b/>
                <w:color w:val="000000"/>
                <w:sz w:val="21"/>
              </w:rPr>
              <w:t xml:space="preserve"> Return</w:t>
            </w:r>
          </w:p>
        </w:tc>
        <w:tc>
          <w:tcPr>
            <w:tcW w:w="1890" w:type="dxa"/>
            <w:tcBorders>
              <w:top w:val="nil"/>
              <w:left w:val="nil"/>
              <w:bottom w:val="single" w:sz="4" w:space="0" w:color="auto"/>
              <w:right w:val="single" w:sz="4" w:space="0" w:color="auto"/>
            </w:tcBorders>
            <w:shd w:val="clear" w:color="auto" w:fill="auto"/>
            <w:noWrap/>
            <w:hideMark/>
          </w:tcPr>
          <w:p w14:paraId="6DFB50FA"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0.285126359</w:t>
            </w:r>
          </w:p>
        </w:tc>
        <w:tc>
          <w:tcPr>
            <w:tcW w:w="1800" w:type="dxa"/>
            <w:tcBorders>
              <w:top w:val="nil"/>
              <w:left w:val="nil"/>
              <w:bottom w:val="single" w:sz="4" w:space="0" w:color="auto"/>
              <w:right w:val="single" w:sz="4" w:space="0" w:color="auto"/>
            </w:tcBorders>
            <w:shd w:val="clear" w:color="auto" w:fill="auto"/>
            <w:noWrap/>
            <w:hideMark/>
          </w:tcPr>
          <w:p w14:paraId="5D5E84D9"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0.012225232</w:t>
            </w:r>
          </w:p>
        </w:tc>
        <w:tc>
          <w:tcPr>
            <w:tcW w:w="1980" w:type="dxa"/>
            <w:tcBorders>
              <w:top w:val="nil"/>
              <w:left w:val="nil"/>
              <w:bottom w:val="single" w:sz="4" w:space="0" w:color="auto"/>
              <w:right w:val="single" w:sz="4" w:space="0" w:color="auto"/>
            </w:tcBorders>
            <w:shd w:val="clear" w:color="auto" w:fill="auto"/>
            <w:noWrap/>
            <w:hideMark/>
          </w:tcPr>
          <w:p w14:paraId="0E1B66C1"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0.258799205</w:t>
            </w:r>
          </w:p>
        </w:tc>
        <w:tc>
          <w:tcPr>
            <w:tcW w:w="1913" w:type="dxa"/>
            <w:tcBorders>
              <w:top w:val="nil"/>
              <w:left w:val="nil"/>
              <w:bottom w:val="single" w:sz="4" w:space="0" w:color="auto"/>
              <w:right w:val="single" w:sz="4" w:space="0" w:color="auto"/>
            </w:tcBorders>
            <w:shd w:val="clear" w:color="auto" w:fill="auto"/>
            <w:noWrap/>
            <w:hideMark/>
          </w:tcPr>
          <w:p w14:paraId="4C41BF7F"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-0.08367882</w:t>
            </w:r>
          </w:p>
        </w:tc>
      </w:tr>
      <w:tr w:rsidR="00856731" w:rsidRPr="00EA3AFE" w14:paraId="6E077469"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CF42F4E"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Standard Deviation</w:t>
            </w:r>
          </w:p>
        </w:tc>
        <w:tc>
          <w:tcPr>
            <w:tcW w:w="1890" w:type="dxa"/>
            <w:tcBorders>
              <w:top w:val="nil"/>
              <w:left w:val="nil"/>
              <w:bottom w:val="single" w:sz="4" w:space="0" w:color="auto"/>
              <w:right w:val="single" w:sz="4" w:space="0" w:color="auto"/>
            </w:tcBorders>
            <w:shd w:val="clear" w:color="auto" w:fill="auto"/>
            <w:noWrap/>
            <w:hideMark/>
          </w:tcPr>
          <w:p w14:paraId="5EC77802"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0.013935675</w:t>
            </w:r>
          </w:p>
        </w:tc>
        <w:tc>
          <w:tcPr>
            <w:tcW w:w="1800" w:type="dxa"/>
            <w:tcBorders>
              <w:top w:val="nil"/>
              <w:left w:val="nil"/>
              <w:bottom w:val="single" w:sz="4" w:space="0" w:color="auto"/>
              <w:right w:val="single" w:sz="4" w:space="0" w:color="auto"/>
            </w:tcBorders>
            <w:shd w:val="clear" w:color="auto" w:fill="auto"/>
            <w:noWrap/>
            <w:hideMark/>
          </w:tcPr>
          <w:p w14:paraId="2553D92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0.017041235</w:t>
            </w:r>
          </w:p>
        </w:tc>
        <w:tc>
          <w:tcPr>
            <w:tcW w:w="1980" w:type="dxa"/>
            <w:tcBorders>
              <w:top w:val="nil"/>
              <w:left w:val="nil"/>
              <w:bottom w:val="single" w:sz="4" w:space="0" w:color="auto"/>
              <w:right w:val="single" w:sz="4" w:space="0" w:color="auto"/>
            </w:tcBorders>
            <w:shd w:val="clear" w:color="auto" w:fill="auto"/>
            <w:noWrap/>
            <w:hideMark/>
          </w:tcPr>
          <w:p w14:paraId="1CBF0470"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0.007205639</w:t>
            </w:r>
          </w:p>
        </w:tc>
        <w:tc>
          <w:tcPr>
            <w:tcW w:w="1913" w:type="dxa"/>
            <w:tcBorders>
              <w:top w:val="nil"/>
              <w:left w:val="nil"/>
              <w:bottom w:val="single" w:sz="4" w:space="0" w:color="auto"/>
              <w:right w:val="single" w:sz="4" w:space="0" w:color="auto"/>
            </w:tcBorders>
            <w:shd w:val="clear" w:color="auto" w:fill="auto"/>
            <w:noWrap/>
            <w:hideMark/>
          </w:tcPr>
          <w:p w14:paraId="671A10E8"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0.0085002</w:t>
            </w:r>
          </w:p>
        </w:tc>
      </w:tr>
      <w:tr w:rsidR="00856731" w:rsidRPr="00EA3AFE" w14:paraId="4E31B4FC"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2F09E212"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Average Daily Return</w:t>
            </w:r>
          </w:p>
        </w:tc>
        <w:tc>
          <w:tcPr>
            <w:tcW w:w="1890" w:type="dxa"/>
            <w:tcBorders>
              <w:top w:val="nil"/>
              <w:left w:val="nil"/>
              <w:bottom w:val="single" w:sz="4" w:space="0" w:color="auto"/>
              <w:right w:val="single" w:sz="4" w:space="0" w:color="auto"/>
            </w:tcBorders>
            <w:shd w:val="clear" w:color="auto" w:fill="auto"/>
            <w:noWrap/>
            <w:hideMark/>
          </w:tcPr>
          <w:p w14:paraId="2932A52E"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0.000682818</w:t>
            </w:r>
          </w:p>
        </w:tc>
        <w:tc>
          <w:tcPr>
            <w:tcW w:w="1800" w:type="dxa"/>
            <w:tcBorders>
              <w:top w:val="nil"/>
              <w:left w:val="nil"/>
              <w:bottom w:val="single" w:sz="4" w:space="0" w:color="auto"/>
              <w:right w:val="single" w:sz="4" w:space="0" w:color="auto"/>
            </w:tcBorders>
            <w:shd w:val="clear" w:color="auto" w:fill="auto"/>
            <w:noWrap/>
            <w:hideMark/>
          </w:tcPr>
          <w:p w14:paraId="16F7AAF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0.000168563</w:t>
            </w:r>
          </w:p>
        </w:tc>
        <w:tc>
          <w:tcPr>
            <w:tcW w:w="1980" w:type="dxa"/>
            <w:tcBorders>
              <w:top w:val="nil"/>
              <w:left w:val="nil"/>
              <w:bottom w:val="single" w:sz="4" w:space="0" w:color="auto"/>
              <w:right w:val="single" w:sz="4" w:space="0" w:color="auto"/>
            </w:tcBorders>
            <w:shd w:val="clear" w:color="auto" w:fill="auto"/>
            <w:noWrap/>
            <w:hideMark/>
          </w:tcPr>
          <w:p w14:paraId="36672DC9"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0.000512612</w:t>
            </w:r>
          </w:p>
        </w:tc>
        <w:tc>
          <w:tcPr>
            <w:tcW w:w="1913" w:type="dxa"/>
            <w:tcBorders>
              <w:top w:val="nil"/>
              <w:left w:val="nil"/>
              <w:bottom w:val="single" w:sz="4" w:space="0" w:color="auto"/>
              <w:right w:val="single" w:sz="4" w:space="0" w:color="auto"/>
            </w:tcBorders>
            <w:shd w:val="clear" w:color="auto" w:fill="auto"/>
            <w:noWrap/>
            <w:hideMark/>
          </w:tcPr>
          <w:p w14:paraId="2F544040"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-0.00013765</w:t>
            </w:r>
          </w:p>
        </w:tc>
      </w:tr>
      <w:tr w:rsidR="00856731" w:rsidRPr="00EA3AFE" w14:paraId="03BA0B87"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63F90A4D"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Final Value</w:t>
            </w:r>
          </w:p>
        </w:tc>
        <w:tc>
          <w:tcPr>
            <w:tcW w:w="1890" w:type="dxa"/>
            <w:tcBorders>
              <w:top w:val="nil"/>
              <w:left w:val="nil"/>
              <w:bottom w:val="single" w:sz="4" w:space="0" w:color="auto"/>
              <w:right w:val="single" w:sz="4" w:space="0" w:color="auto"/>
            </w:tcBorders>
            <w:shd w:val="clear" w:color="auto" w:fill="auto"/>
            <w:noWrap/>
            <w:hideMark/>
          </w:tcPr>
          <w:p w14:paraId="640D153F" w14:textId="0310B621"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$128,231.90</w:t>
            </w:r>
          </w:p>
        </w:tc>
        <w:tc>
          <w:tcPr>
            <w:tcW w:w="1800" w:type="dxa"/>
            <w:tcBorders>
              <w:top w:val="nil"/>
              <w:left w:val="nil"/>
              <w:bottom w:val="single" w:sz="4" w:space="0" w:color="auto"/>
              <w:right w:val="single" w:sz="4" w:space="0" w:color="auto"/>
            </w:tcBorders>
            <w:shd w:val="clear" w:color="auto" w:fill="auto"/>
            <w:noWrap/>
            <w:hideMark/>
          </w:tcPr>
          <w:p w14:paraId="64F4F397" w14:textId="4A5AF52C"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$101,017.75</w:t>
            </w:r>
          </w:p>
        </w:tc>
        <w:tc>
          <w:tcPr>
            <w:tcW w:w="1980" w:type="dxa"/>
            <w:tcBorders>
              <w:top w:val="nil"/>
              <w:left w:val="nil"/>
              <w:bottom w:val="single" w:sz="4" w:space="0" w:color="auto"/>
              <w:right w:val="single" w:sz="4" w:space="0" w:color="auto"/>
            </w:tcBorders>
            <w:shd w:val="clear" w:color="auto" w:fill="auto"/>
            <w:noWrap/>
            <w:hideMark/>
          </w:tcPr>
          <w:p w14:paraId="2431E2AA" w14:textId="6CF9876E"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$125,632.00</w:t>
            </w:r>
          </w:p>
        </w:tc>
        <w:tc>
          <w:tcPr>
            <w:tcW w:w="1913" w:type="dxa"/>
            <w:tcBorders>
              <w:top w:val="nil"/>
              <w:left w:val="nil"/>
              <w:bottom w:val="single" w:sz="4" w:space="0" w:color="auto"/>
              <w:right w:val="single" w:sz="4" w:space="0" w:color="auto"/>
            </w:tcBorders>
            <w:shd w:val="clear" w:color="auto" w:fill="auto"/>
            <w:noWrap/>
            <w:hideMark/>
          </w:tcPr>
          <w:p w14:paraId="28D1626F"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 xml:space="preserve"> $ 91,435.70 </w:t>
            </w:r>
          </w:p>
        </w:tc>
      </w:tr>
    </w:tbl>
    <w:p w14:paraId="23EA9801" w14:textId="3296A6AE" w:rsidR="006B04CA" w:rsidRDefault="006B04CA" w:rsidP="00AE4EDA">
      <w:pPr>
        <w:contextualSpacing/>
        <w:rPr>
          <w:rFonts w:ascii="Arial" w:hAnsi="Arial" w:cs="Arial"/>
          <w:noProof/>
        </w:rPr>
      </w:pPr>
    </w:p>
    <w:p w14:paraId="588533DB" w14:textId="09233FD0" w:rsidR="00EA3AFE" w:rsidRDefault="00EA3AFE" w:rsidP="00AE4EDA">
      <w:pPr>
        <w:contextualSpacing/>
        <w:rPr>
          <w:rFonts w:ascii="Arial" w:hAnsi="Arial" w:cs="Arial"/>
          <w:noProof/>
        </w:rPr>
      </w:pPr>
    </w:p>
    <w:tbl>
      <w:tblPr>
        <w:tblStyle w:val="TableGrid"/>
        <w:tblW w:w="0" w:type="auto"/>
        <w:tblLook w:val="04A0" w:firstRow="1" w:lastRow="0" w:firstColumn="1" w:lastColumn="0" w:noHBand="0" w:noVBand="1"/>
      </w:tblPr>
      <w:tblGrid>
        <w:gridCol w:w="9350"/>
      </w:tblGrid>
      <w:tr w:rsidR="00EA3AFE" w14:paraId="718E1505" w14:textId="77777777" w:rsidTr="00EA3AFE">
        <w:tc>
          <w:tcPr>
            <w:tcW w:w="9350" w:type="dxa"/>
          </w:tcPr>
          <w:p w14:paraId="23AAFBE4" w14:textId="17ED2C2F" w:rsidR="00EA3AFE" w:rsidRDefault="00EA3AFE" w:rsidP="00AE4EDA">
            <w:pPr>
              <w:contextualSpacing/>
              <w:rPr>
                <w:rFonts w:ascii="Arial" w:hAnsi="Arial" w:cs="Arial"/>
                <w:noProof/>
              </w:rPr>
            </w:pPr>
            <w:r w:rsidRPr="00EA3AFE">
              <w:rPr>
                <w:rFonts w:ascii="Arial" w:hAnsi="Arial" w:cs="Arial"/>
                <w:noProof/>
              </w:rPr>
              <w:lastRenderedPageBreak/>
              <w:drawing>
                <wp:inline distT="0" distB="0" distL="0" distR="0" wp14:anchorId="00C4D395" wp14:editId="19F599B4">
                  <wp:extent cx="5943600" cy="3219450"/>
                  <wp:effectExtent l="0" t="0" r="0" b="6350"/>
                  <wp:docPr id="13" name="Picture 13"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_MS_insam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14:paraId="2FB62FEE" w14:textId="77777777" w:rsidTr="00EA3AFE">
        <w:tc>
          <w:tcPr>
            <w:tcW w:w="9350" w:type="dxa"/>
          </w:tcPr>
          <w:p w14:paraId="72C94DAF" w14:textId="193C5E86" w:rsidR="00EA3AFE" w:rsidRDefault="00EA3AFE" w:rsidP="00AE4EDA">
            <w:pPr>
              <w:contextualSpacing/>
              <w:rPr>
                <w:rFonts w:ascii="Arial" w:hAnsi="Arial" w:cs="Arial"/>
                <w:noProof/>
              </w:rPr>
            </w:pPr>
            <w:r>
              <w:rPr>
                <w:rFonts w:ascii="Arial" w:hAnsi="Arial" w:cs="Arial"/>
                <w:noProof/>
              </w:rPr>
              <w:t>Figure 5: Manual strategy, in-sample analysis. Upper panel: normalized return of the portfolio and the benchmark. Lower panel: PSR and momentum.</w:t>
            </w:r>
          </w:p>
        </w:tc>
      </w:tr>
    </w:tbl>
    <w:p w14:paraId="2853CD94" w14:textId="2CDEA3AA" w:rsidR="00EA3AFE" w:rsidRDefault="00EA3AFE" w:rsidP="00AE4EDA">
      <w:pPr>
        <w:contextualSpacing/>
        <w:rPr>
          <w:rFonts w:ascii="Arial" w:hAnsi="Arial" w:cs="Arial"/>
          <w:noProof/>
        </w:rPr>
      </w:pPr>
    </w:p>
    <w:tbl>
      <w:tblPr>
        <w:tblStyle w:val="TableGrid"/>
        <w:tblW w:w="0" w:type="auto"/>
        <w:tblLook w:val="04A0" w:firstRow="1" w:lastRow="0" w:firstColumn="1" w:lastColumn="0" w:noHBand="0" w:noVBand="1"/>
      </w:tblPr>
      <w:tblGrid>
        <w:gridCol w:w="9350"/>
      </w:tblGrid>
      <w:tr w:rsidR="00EA3AFE" w14:paraId="71C7A7F5" w14:textId="77777777" w:rsidTr="00583667">
        <w:tc>
          <w:tcPr>
            <w:tcW w:w="9350" w:type="dxa"/>
          </w:tcPr>
          <w:p w14:paraId="5D506F38" w14:textId="00E8F195" w:rsidR="00EA3AFE" w:rsidRDefault="00EA3AFE" w:rsidP="00583667">
            <w:pPr>
              <w:contextualSpacing/>
              <w:rPr>
                <w:rFonts w:ascii="Arial" w:hAnsi="Arial" w:cs="Arial"/>
                <w:noProof/>
              </w:rPr>
            </w:pPr>
            <w:r w:rsidRPr="00EA3AFE">
              <w:rPr>
                <w:rFonts w:ascii="Arial" w:hAnsi="Arial" w:cs="Arial"/>
                <w:noProof/>
              </w:rPr>
              <w:drawing>
                <wp:inline distT="0" distB="0" distL="0" distR="0" wp14:anchorId="0388859F" wp14:editId="277AE9D9">
                  <wp:extent cx="5943600" cy="3219450"/>
                  <wp:effectExtent l="0" t="0" r="0" b="635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_MS_OutSamp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14:paraId="3263FCB0" w14:textId="77777777" w:rsidTr="00583667">
        <w:tc>
          <w:tcPr>
            <w:tcW w:w="9350" w:type="dxa"/>
          </w:tcPr>
          <w:p w14:paraId="1383626F" w14:textId="55F453B6" w:rsidR="00EA3AFE" w:rsidRDefault="00EA3AFE" w:rsidP="00583667">
            <w:pPr>
              <w:contextualSpacing/>
              <w:rPr>
                <w:rFonts w:ascii="Arial" w:hAnsi="Arial" w:cs="Arial"/>
                <w:noProof/>
              </w:rPr>
            </w:pPr>
            <w:r>
              <w:rPr>
                <w:rFonts w:ascii="Arial" w:hAnsi="Arial" w:cs="Arial"/>
                <w:noProof/>
              </w:rPr>
              <w:t>Figure 6: Manual strategy, out sample analysis. Upper panel: normalized return of the portfolio and the benchmark. Lower panel: PSR and momentum.</w:t>
            </w:r>
          </w:p>
        </w:tc>
      </w:tr>
    </w:tbl>
    <w:p w14:paraId="74398280" w14:textId="77777777" w:rsidR="00EA3AFE" w:rsidRPr="00EA3AFE" w:rsidRDefault="00EA3AFE" w:rsidP="00AE4EDA">
      <w:pPr>
        <w:contextualSpacing/>
        <w:rPr>
          <w:rFonts w:ascii="Arial" w:hAnsi="Arial" w:cs="Arial"/>
          <w:noProof/>
        </w:rPr>
      </w:pPr>
    </w:p>
    <w:p w14:paraId="421F8F72" w14:textId="7D2B4AFE" w:rsidR="00FB104F" w:rsidRPr="00EA3AFE" w:rsidRDefault="00FB104F" w:rsidP="00AE4EDA">
      <w:pPr>
        <w:contextualSpacing/>
        <w:rPr>
          <w:rFonts w:ascii="Arial" w:hAnsi="Arial" w:cs="Arial"/>
        </w:rPr>
      </w:pPr>
    </w:p>
    <w:p w14:paraId="6BBEBD3B" w14:textId="77777777" w:rsidR="00A64E14" w:rsidRPr="00EA3AFE" w:rsidRDefault="00A64E14" w:rsidP="00AE4EDA">
      <w:pPr>
        <w:contextualSpacing/>
        <w:rPr>
          <w:rFonts w:ascii="Arial" w:hAnsi="Arial" w:cs="Arial"/>
        </w:rPr>
      </w:pPr>
    </w:p>
    <w:sectPr w:rsidR="00A64E14" w:rsidRPr="00EA3AFE" w:rsidSect="001239A5">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E8686" w14:textId="77777777" w:rsidR="00830506" w:rsidRDefault="00830506" w:rsidP="001F66B0">
      <w:r>
        <w:separator/>
      </w:r>
    </w:p>
  </w:endnote>
  <w:endnote w:type="continuationSeparator" w:id="0">
    <w:p w14:paraId="7895E72A" w14:textId="77777777" w:rsidR="00830506" w:rsidRDefault="00830506"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622FD" w14:textId="77777777" w:rsidR="00830506" w:rsidRDefault="00830506" w:rsidP="001F66B0">
      <w:r>
        <w:separator/>
      </w:r>
    </w:p>
  </w:footnote>
  <w:footnote w:type="continuationSeparator" w:id="0">
    <w:p w14:paraId="33461B70" w14:textId="77777777" w:rsidR="00830506" w:rsidRDefault="00830506"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533F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533F5B">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20592"/>
    <w:rsid w:val="000562CD"/>
    <w:rsid w:val="000701AF"/>
    <w:rsid w:val="0008329C"/>
    <w:rsid w:val="000B17B4"/>
    <w:rsid w:val="000D4BFF"/>
    <w:rsid w:val="000F5C92"/>
    <w:rsid w:val="000F6B8B"/>
    <w:rsid w:val="00100AF3"/>
    <w:rsid w:val="001239A5"/>
    <w:rsid w:val="001663FC"/>
    <w:rsid w:val="00172E8F"/>
    <w:rsid w:val="00180A5D"/>
    <w:rsid w:val="001B726B"/>
    <w:rsid w:val="001C2315"/>
    <w:rsid w:val="001D1BBD"/>
    <w:rsid w:val="001E62BA"/>
    <w:rsid w:val="001F5E44"/>
    <w:rsid w:val="001F66B0"/>
    <w:rsid w:val="0022363F"/>
    <w:rsid w:val="00230B7B"/>
    <w:rsid w:val="00231240"/>
    <w:rsid w:val="002815B8"/>
    <w:rsid w:val="002C2252"/>
    <w:rsid w:val="002C7443"/>
    <w:rsid w:val="002D677B"/>
    <w:rsid w:val="002D72F0"/>
    <w:rsid w:val="002D7983"/>
    <w:rsid w:val="002E527B"/>
    <w:rsid w:val="002E623E"/>
    <w:rsid w:val="00375463"/>
    <w:rsid w:val="00390C85"/>
    <w:rsid w:val="003C4751"/>
    <w:rsid w:val="004210E3"/>
    <w:rsid w:val="0042377D"/>
    <w:rsid w:val="00446BC4"/>
    <w:rsid w:val="00455DC4"/>
    <w:rsid w:val="00491FB3"/>
    <w:rsid w:val="004C58C4"/>
    <w:rsid w:val="004E4CE4"/>
    <w:rsid w:val="004F608D"/>
    <w:rsid w:val="00533F5B"/>
    <w:rsid w:val="00536790"/>
    <w:rsid w:val="005607B1"/>
    <w:rsid w:val="005B31AA"/>
    <w:rsid w:val="005E6A54"/>
    <w:rsid w:val="006052E7"/>
    <w:rsid w:val="00605E19"/>
    <w:rsid w:val="00616439"/>
    <w:rsid w:val="00626CB2"/>
    <w:rsid w:val="00630F25"/>
    <w:rsid w:val="00674F82"/>
    <w:rsid w:val="006A3D6A"/>
    <w:rsid w:val="006B04CA"/>
    <w:rsid w:val="006B7650"/>
    <w:rsid w:val="007038E7"/>
    <w:rsid w:val="00710F70"/>
    <w:rsid w:val="0071632F"/>
    <w:rsid w:val="00731BBA"/>
    <w:rsid w:val="00732688"/>
    <w:rsid w:val="007369E1"/>
    <w:rsid w:val="007472FD"/>
    <w:rsid w:val="00783933"/>
    <w:rsid w:val="00787D28"/>
    <w:rsid w:val="007C339E"/>
    <w:rsid w:val="007C770B"/>
    <w:rsid w:val="008067CD"/>
    <w:rsid w:val="00830506"/>
    <w:rsid w:val="00836D28"/>
    <w:rsid w:val="00850A96"/>
    <w:rsid w:val="00856731"/>
    <w:rsid w:val="008A7DA7"/>
    <w:rsid w:val="008D3208"/>
    <w:rsid w:val="008E30FF"/>
    <w:rsid w:val="008F7ABB"/>
    <w:rsid w:val="00915903"/>
    <w:rsid w:val="009216BF"/>
    <w:rsid w:val="0095302D"/>
    <w:rsid w:val="00953185"/>
    <w:rsid w:val="00985B99"/>
    <w:rsid w:val="009876BB"/>
    <w:rsid w:val="009B012C"/>
    <w:rsid w:val="009D23C3"/>
    <w:rsid w:val="009F0A4B"/>
    <w:rsid w:val="00A050E6"/>
    <w:rsid w:val="00A2316A"/>
    <w:rsid w:val="00A26E4B"/>
    <w:rsid w:val="00A64E14"/>
    <w:rsid w:val="00AE1D0D"/>
    <w:rsid w:val="00AE4EDA"/>
    <w:rsid w:val="00AF0E38"/>
    <w:rsid w:val="00B610C3"/>
    <w:rsid w:val="00B7333B"/>
    <w:rsid w:val="00BB77BC"/>
    <w:rsid w:val="00BC0E0B"/>
    <w:rsid w:val="00BC2479"/>
    <w:rsid w:val="00BD6893"/>
    <w:rsid w:val="00BE5284"/>
    <w:rsid w:val="00C3534B"/>
    <w:rsid w:val="00C37E52"/>
    <w:rsid w:val="00C41C87"/>
    <w:rsid w:val="00C45560"/>
    <w:rsid w:val="00C4679C"/>
    <w:rsid w:val="00C51536"/>
    <w:rsid w:val="00C64488"/>
    <w:rsid w:val="00C70396"/>
    <w:rsid w:val="00CA590B"/>
    <w:rsid w:val="00CC4B3A"/>
    <w:rsid w:val="00CC784B"/>
    <w:rsid w:val="00CD7CA9"/>
    <w:rsid w:val="00CF1D51"/>
    <w:rsid w:val="00D12422"/>
    <w:rsid w:val="00D57C19"/>
    <w:rsid w:val="00D60F49"/>
    <w:rsid w:val="00D76FCF"/>
    <w:rsid w:val="00DD43A3"/>
    <w:rsid w:val="00E16993"/>
    <w:rsid w:val="00E61380"/>
    <w:rsid w:val="00E65E98"/>
    <w:rsid w:val="00EA3AFE"/>
    <w:rsid w:val="00ED3027"/>
    <w:rsid w:val="00ED58C0"/>
    <w:rsid w:val="00EE160C"/>
    <w:rsid w:val="00EF7944"/>
    <w:rsid w:val="00F44478"/>
    <w:rsid w:val="00F541E4"/>
    <w:rsid w:val="00F62725"/>
    <w:rsid w:val="00F80AD0"/>
    <w:rsid w:val="00FB104F"/>
    <w:rsid w:val="00FB79FA"/>
    <w:rsid w:val="00FC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051062F0-0057-EA40-B25B-7D52A97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784B"/>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733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 w:type="character" w:customStyle="1" w:styleId="Heading2Char">
    <w:name w:val="Heading 2 Char"/>
    <w:basedOn w:val="DefaultParagraphFont"/>
    <w:link w:val="Heading2"/>
    <w:uiPriority w:val="9"/>
    <w:rsid w:val="00B7333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B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018">
      <w:bodyDiv w:val="1"/>
      <w:marLeft w:val="0"/>
      <w:marRight w:val="0"/>
      <w:marTop w:val="0"/>
      <w:marBottom w:val="0"/>
      <w:divBdr>
        <w:top w:val="none" w:sz="0" w:space="0" w:color="auto"/>
        <w:left w:val="none" w:sz="0" w:space="0" w:color="auto"/>
        <w:bottom w:val="none" w:sz="0" w:space="0" w:color="auto"/>
        <w:right w:val="none" w:sz="0" w:space="0" w:color="auto"/>
      </w:divBdr>
    </w:div>
    <w:div w:id="43987401">
      <w:bodyDiv w:val="1"/>
      <w:marLeft w:val="0"/>
      <w:marRight w:val="0"/>
      <w:marTop w:val="0"/>
      <w:marBottom w:val="0"/>
      <w:divBdr>
        <w:top w:val="none" w:sz="0" w:space="0" w:color="auto"/>
        <w:left w:val="none" w:sz="0" w:space="0" w:color="auto"/>
        <w:bottom w:val="none" w:sz="0" w:space="0" w:color="auto"/>
        <w:right w:val="none" w:sz="0" w:space="0" w:color="auto"/>
      </w:divBdr>
    </w:div>
    <w:div w:id="168372561">
      <w:bodyDiv w:val="1"/>
      <w:marLeft w:val="0"/>
      <w:marRight w:val="0"/>
      <w:marTop w:val="0"/>
      <w:marBottom w:val="0"/>
      <w:divBdr>
        <w:top w:val="none" w:sz="0" w:space="0" w:color="auto"/>
        <w:left w:val="none" w:sz="0" w:space="0" w:color="auto"/>
        <w:bottom w:val="none" w:sz="0" w:space="0" w:color="auto"/>
        <w:right w:val="none" w:sz="0" w:space="0" w:color="auto"/>
      </w:divBdr>
    </w:div>
    <w:div w:id="588003929">
      <w:bodyDiv w:val="1"/>
      <w:marLeft w:val="0"/>
      <w:marRight w:val="0"/>
      <w:marTop w:val="0"/>
      <w:marBottom w:val="0"/>
      <w:divBdr>
        <w:top w:val="none" w:sz="0" w:space="0" w:color="auto"/>
        <w:left w:val="none" w:sz="0" w:space="0" w:color="auto"/>
        <w:bottom w:val="none" w:sz="0" w:space="0" w:color="auto"/>
        <w:right w:val="none" w:sz="0" w:space="0" w:color="auto"/>
      </w:divBdr>
    </w:div>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18841544">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557012981">
      <w:bodyDiv w:val="1"/>
      <w:marLeft w:val="0"/>
      <w:marRight w:val="0"/>
      <w:marTop w:val="0"/>
      <w:marBottom w:val="0"/>
      <w:divBdr>
        <w:top w:val="none" w:sz="0" w:space="0" w:color="auto"/>
        <w:left w:val="none" w:sz="0" w:space="0" w:color="auto"/>
        <w:bottom w:val="none" w:sz="0" w:space="0" w:color="auto"/>
        <w:right w:val="none" w:sz="0" w:space="0" w:color="auto"/>
      </w:divBdr>
    </w:div>
    <w:div w:id="1561015756">
      <w:bodyDiv w:val="1"/>
      <w:marLeft w:val="0"/>
      <w:marRight w:val="0"/>
      <w:marTop w:val="0"/>
      <w:marBottom w:val="0"/>
      <w:divBdr>
        <w:top w:val="none" w:sz="0" w:space="0" w:color="auto"/>
        <w:left w:val="none" w:sz="0" w:space="0" w:color="auto"/>
        <w:bottom w:val="none" w:sz="0" w:space="0" w:color="auto"/>
        <w:right w:val="none" w:sz="0" w:space="0" w:color="auto"/>
      </w:divBdr>
    </w:div>
    <w:div w:id="1695839143">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898278434">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金章 李</cp:lastModifiedBy>
  <cp:revision>2</cp:revision>
  <cp:lastPrinted>2019-03-25T07:08:00Z</cp:lastPrinted>
  <dcterms:created xsi:type="dcterms:W3CDTF">2019-04-22T07:54:00Z</dcterms:created>
  <dcterms:modified xsi:type="dcterms:W3CDTF">2019-04-22T07:54:00Z</dcterms:modified>
</cp:coreProperties>
</file>