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逆向物流活动在废旧塑料瓶装水废弃物管理回收中的作用</w:t>
      </w:r>
    </w:p>
    <w:p>
      <w:pPr>
        <w:jc w:val="center"/>
      </w:pPr>
      <w:r>
        <w:rPr>
          <w:b/>
        </w:rPr>
        <w:t>Gemechu Abdissa，Abebe Ayalew，Anna Dunay，Csaba Bálint Illés</w:t>
      </w:r>
    </w:p>
    <w:p>
      <w:pPr>
        <w:spacing w:line="269" w:lineRule="auto" w:after="100"/>
      </w:pPr>
      <w:r>
        <w:t>原文出处：Sustainability 2022，14，7650。DOI：https://doi.org/10.3390/su14137650</w:t>
      </w:r>
    </w:p>
    <w:p>
      <w:pPr>
        <w:spacing w:line="269" w:lineRule="auto" w:after="100"/>
      </w:pPr>
      <w:r>
        <w:t>中文译文。原文为开放获取文章，采用知识共享署名（CC BY）许可协议。本文译文仅用于学习和研究，数据、统计量和参考文献编号按原文保留。</w:t>
      </w:r>
    </w:p>
    <w:p>
      <w:pPr>
        <w:pStyle w:val="Heading1"/>
        <w:spacing w:before="180" w:after="80"/>
      </w:pPr>
      <w:r>
        <w:t>摘要</w:t>
      </w:r>
    </w:p>
    <w:p>
      <w:pPr>
        <w:spacing w:line="269" w:lineRule="auto" w:after="100"/>
      </w:pPr>
      <w:r>
        <w:t>本研究旨在考察逆向物流在埃塞俄比亚废旧塑料瓶回收和废弃物管理中的作用。为实现研究目标，作者采用描述性研究设计，结合一手和二手数据。一手数据来自258名受访者，二手数据取自办公室手册、年度报告和宣传册。分析结果显示，环境中普遍存在焚烧、填埋以及将废旧塑料瓶倾倒在道路两侧的现象，使城市及其周边地区肮脏且不宜居。研究还发现，再利用和再制造已变得不常见，实践很少。尽管已经制定了塑料废弃物处置指南，但调查表明，社区对固体废弃物管理的了解不足，部分利益相关者还主动忽视废弃物管理公告。因此，建议政府、企业主、塑料瓶装水生产商和公众等所有利益相关者，高度重视废弃物处置，尤其要关注埃塞俄比亚城乡地区的不可生物降解污染物。</w:t>
      </w:r>
    </w:p>
    <w:p>
      <w:pPr>
        <w:spacing w:line="269" w:lineRule="auto" w:after="100"/>
      </w:pPr>
      <w:r>
        <w:t>关键词：逆向物流（RL）；回收；再利用；再制造；循环经济；环境可持续性；废弃物管理</w:t>
      </w:r>
    </w:p>
    <w:p>
      <w:pPr>
        <w:pStyle w:val="Heading1"/>
        <w:spacing w:before="180" w:after="80"/>
      </w:pPr>
      <w:r>
        <w:t>1 引言</w:t>
      </w:r>
    </w:p>
    <w:p>
      <w:pPr>
        <w:spacing w:line="269" w:lineRule="auto" w:after="100"/>
      </w:pPr>
      <w:r>
        <w:t>由于逆向物流对供应链绩效具有价值，且不同利益相关者的要求不断提高，研究者和产业实践者对它的关注持续增加。Govindan等人[1]指出，消费者比以往任何时候都更加关注环境问题，并推动企业在业务流程中采用逆向物流。Vanalle等人[2]以及Zhu和Geng[3]进一步指出，企业组织正在响应监管部门、竞争者和管理者承诺所形成的严格环境规则，把逆向物流纳入运营。企业所在的社会也要求其实施符合环境要求的做法，并将逆向物流纳入战略计划和业务流程[4]。</w:t>
      </w:r>
    </w:p>
    <w:p>
      <w:pPr>
        <w:spacing w:line="269" w:lineRule="auto" w:after="100"/>
      </w:pPr>
      <w:r>
        <w:t>环境意识的提高使企业管理者承受更大的可持续运营压力，需要同时考虑成本效益、生态和社会三个维度的“三重底线”。如今，瓶装水的使用量不断增加，预计随着人口增长还会继续上升。消费者偏好、营销推广、便携性和瓶装水的清洁感，使瓶装水消费超过了自来水[5]。由于废弃物管理低效，以及聚对苯二甲酸乙二醇酯（PET）回收过程产生的排放，瓶装水对总体环境污染的影响很高[6]。然而，如果业务活动中的所有参与者不协作，这一目标就难以实现。对于希望降低环境影响并获得竞争优势的企业，实施绿色供应链管理（GSCM）和形成共同态度十分必要[7]。</w:t>
      </w:r>
    </w:p>
    <w:p>
      <w:pPr>
        <w:spacing w:line="269" w:lineRule="auto" w:after="100"/>
      </w:pPr>
      <w:r>
        <w:t>逆向物流的目标是减少塑料生产商对能源和原材料的使用，从而有利于可持续发展中的环境保护[8]。因此，逆向物流在构建绿色物资分销渠道方面具有重要地位，其意义已得到广泛认可。例如，美国成立了逆向物流执行委员会（RLEC），与学术界合作；欧盟委员会则支持以逆向物流为基础的REVLON和RELOOP项目[9]。重构供应链以管理物料退回，对于高效回收、再制造或处置废弃物至关重要[10]。</w:t>
      </w:r>
    </w:p>
    <w:p>
      <w:pPr>
        <w:spacing w:line="269" w:lineRule="auto" w:after="100"/>
      </w:pPr>
      <w:r>
        <w:t>由于兼具经济和环境意义，逆向物流正受到所有利益相关者的要求[11]。逆向物流的目标是减少损害环境的活动。Ashby等人[12]指出，其主要目标是消除危险材料、能源使用、排放和固体废弃物（废旧瓶）等环境废物。将具体的逆向物流流程纳入企业供应链，不仅有利于组织，也有利于环境。逆向物流可以减少废弃物、提高企业利润[13]，并帮助组织应对客户和整个社区不断变化的需求[14]。</w:t>
      </w:r>
    </w:p>
    <w:p>
      <w:pPr>
        <w:spacing w:line="269" w:lineRule="auto" w:after="100"/>
      </w:pPr>
      <w:r>
        <w:t>发展中国家的企业主很少在供应链中对使用后的废旧塑料瓶实施逆向物流。然而，在多数发展中国家，供应链中的逆向物流包含规模可观的非正规经济[15]。发展中经济体的逆向物流链通常缺乏协调，依赖从废弃物运输车和临时倾倒点收集的可重复使用材料[16]。</w:t>
      </w:r>
    </w:p>
    <w:p>
      <w:pPr>
        <w:spacing w:line="269" w:lineRule="auto" w:after="100"/>
      </w:pPr>
      <w:r>
        <w:t>由于自然资源稀缺且大多不可再生，不合理和不断增加的使用正在损害其未来存续的可能性[17]。为应对可持续性问题，应采用回收等可持续废弃物管理方式来保护稀缺资源。与其只关注废弃物处置方式，不如把废弃物视为未来可利用的资源[18]。回收是把废弃物转变为具有经济价值材料的过程，因此有机会减少废弃物的收集和处置量[16]。概括而言，生态法规、企业责任、融资和服务质量等因素共同推动逆向物流[19]。</w:t>
      </w:r>
    </w:p>
    <w:p>
      <w:pPr>
        <w:pStyle w:val="Heading2"/>
        <w:spacing w:before="180" w:after="80"/>
      </w:pPr>
      <w:r>
        <w:t>1.1 逆向物流活动</w:t>
      </w:r>
    </w:p>
    <w:p>
      <w:pPr>
        <w:spacing w:line="269" w:lineRule="auto" w:after="100"/>
      </w:pPr>
      <w:r>
        <w:t>逆向物流对循环经济的支持，正在把材料流动的线性业务模式转变为产品和材料的闭环流动。采用逆向物流有助于企业减少、再利用和回收废弃物，并塑造良好的公共形象[20]。企业需要开展多种活动来接收退回材料，并明确退回产品的可行去向，如装配线、配送环节和再加工线。逆向物流系统中的不同产品，可以直接再利用、维修、翻新、再制造、回收、焚烧或填埋，这些都属于逆向物流活动[21]。当退回产品不再为组织提供价值、成为废弃物时，焚烧和填埋是最后选择。通过能源回收处置废弃物，可以利用废弃物的热值减少填埋量；如果回收的能量用于新用途，焚烧还可能产生经济收益。</w:t>
      </w:r>
    </w:p>
    <w:p>
      <w:pPr>
        <w:spacing w:line="269" w:lineRule="auto" w:after="100"/>
      </w:pPr>
      <w:r>
        <w:t>再利用被视为逆向物流的主要活动，即产品可以再次用于相同功能。Seles等人[22]将再利用描述为：从退回组织的产品中回收仍具有某种价值的部件。再利用还包括清洁使用过的产品、回收仍具功能的包装材料、翻新和维修[14]。在所有逆向物流系统中，再利用被认为是最环保的废弃物管理实践[23]。</w:t>
      </w:r>
    </w:p>
    <w:p>
      <w:pPr>
        <w:jc w:val="center"/>
      </w:pPr>
      <w:r>
        <w:drawing>
          <wp:inline xmlns:a="http://schemas.openxmlformats.org/drawingml/2006/main" xmlns:pic="http://schemas.openxmlformats.org/drawingml/2006/picture">
            <wp:extent cx="5212080" cy="2634276"/>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212080" cy="2634276"/>
                    </a:xfrm>
                    <a:prstGeom prst="rect"/>
                  </pic:spPr>
                </pic:pic>
              </a:graphicData>
            </a:graphic>
          </wp:inline>
        </w:drawing>
      </w:r>
    </w:p>
    <w:p>
      <w:pPr>
        <w:spacing w:line="269" w:lineRule="auto" w:after="100"/>
      </w:pPr>
      <w:r>
        <w:t>图1：综合供应链中的不同回收方式。</w:t>
        <w:br/>
        <w:t>恢复是回收已使用的材料，即使恢复后的产品不如原材料；翻新是恢复使用过产品的某些性能；再制造旨在使使用过的产品达到与原产品相同的状态；拆解利用只选择使用过产品中少量可回收的部分并重新利用；回收则不保留退回产品原有的产品身份，而是把使用过的产品作为原材料制造新产品。在德国、英国等欧洲国家，废弃部件中的金属有75%得到回收[21]。</w:t>
      </w:r>
    </w:p>
    <w:p>
      <w:pPr>
        <w:spacing w:line="269" w:lineRule="auto" w:after="100"/>
      </w:pPr>
      <w:r>
        <w:t>近期研究[24–27]显示，包装瓶装水在埃塞俄比亚国内和国际市场的分销正以令人担忧的速度增长，因为社区更偏好瓶装水而非自来水。然而，环境专家和国家环境法规已经提出了环境可持续性问题：塑料水瓶包装并不环保。因此，埃塞俄比亚瓶装水企业可以把从最终用户处收集塑料包装并进行回收或再利用，作为逆向物流的一部分，因为这类材料需要数百年才能分解[28]。</w:t>
      </w:r>
    </w:p>
    <w:p>
      <w:pPr>
        <w:spacing w:line="269" w:lineRule="auto" w:after="100"/>
      </w:pPr>
      <w:r>
        <w:t>塑料在自然环境中有多种处理方式，包括填埋、回收和焚烧[29]。根据Ensermu对埃塞俄比亚亚的斯亚贝巴废旧水瓶处置情况的研究[28]，只有3.5%的废旧塑料瓶被交回收集者进行回收；35.9%被投入垃圾桶，37.3%被再利用，23.2%被随意丢弃。埃塞俄比亚固体废弃物管理绩效低下的原因很多，例如资金问题、缺乏减少废弃物和回收废弃物的经验、能源选择不足、废弃物分类和成分分析能力不足[30]。</w:t>
      </w:r>
    </w:p>
    <w:p>
      <w:pPr>
        <w:pStyle w:val="Heading2"/>
        <w:spacing w:before="180" w:after="80"/>
      </w:pPr>
      <w:r>
        <w:t>1.2 塑料废弃物管理</w:t>
      </w:r>
    </w:p>
    <w:p>
      <w:pPr>
        <w:spacing w:line="269" w:lineRule="auto" w:after="100"/>
      </w:pPr>
      <w:r>
        <w:t>世界各地对塑料废弃物的关注不断增加。废弃塑料的大幅增长已经损害环境和健康，因此建议采用系统、科学的塑料废弃物处置方法，以保护生态环境。废弃物可以通过回收、焚烧或填埋处理。对于污染严重的塑料，焚烧是从中回收能量的方式，可能优于填埋[31]。不过，焚烧和填埋都会损害环境和社会福祉。焚烧会产生二噁英和呋喃等有害污染物[32]；塑料还可能在土壤中存在300年，并在填埋时缓慢向大气释放甲烷[33]。倾倒、掩埋或焚烧固体废物会造成污染，并增加长期累积的固体废弃物数量。填埋场中大量不可生物降解的塑料制品还可能缓慢向周围环境泄漏有毒化学物质[34]。因此，回收塑料比焚烧或填埋更环保。回收不仅减少废弃物处置和石油使用，还能创造就业并提高产业运营效率[35]。</w:t>
      </w:r>
    </w:p>
    <w:p>
      <w:pPr>
        <w:spacing w:line="269" w:lineRule="auto" w:after="100"/>
      </w:pPr>
      <w:r>
        <w:t>Wang等人[36]提出，浮选技术是一种有前景的废塑料分离方法，能够减少不利环境影响、提供合格投入物并提高塑料回收效率。利用浮选技术分离塑料后，可以焚烧或填埋其他可生物降解废弃物。Wang等人[37]还开发了“以废治废”技术，把废塑料转化为用于废水处理的类芬顿催化剂，从而减少废塑料进入环境。Plakas等人[38]建立了监测塑料包装废弃物的追踪系统，为瓶装水生产商应对塑料瓶造成的环境污染作出贡献。</w:t>
      </w:r>
    </w:p>
    <w:p>
      <w:pPr>
        <w:pStyle w:val="Heading2"/>
        <w:spacing w:before="180" w:after="80"/>
      </w:pPr>
      <w:r>
        <w:t>1.3 逆向物流与废弃物管理的法律框架</w:t>
      </w:r>
    </w:p>
    <w:p>
      <w:pPr>
        <w:spacing w:line="269" w:lineRule="auto" w:after="100"/>
      </w:pPr>
      <w:r>
        <w:t>要形成对现有废弃物管理方式、其与生态法规的一致性及其影响的具体认识，有必要考察管理废弃物的法律制度。政府和相关组织通过法规，要求企业采用逆向物流等绿色实践。Govindan等人[1]指出，欧盟关于废弃电气和电子设备（WEEE）的指令要求电气和电子产品生产者收集、回收和再利用使用过的产品；成员国还必须努力实现家庭废弃物50%的回收目标[30]。这一指令推动政府和非政府组织制定塑料材料回收方案。</w:t>
      </w:r>
    </w:p>
    <w:p>
      <w:pPr>
        <w:spacing w:line="269" w:lineRule="auto" w:after="100"/>
      </w:pPr>
      <w:r>
        <w:t>日本制定了《容器包装再商品化法》（1997），要求企业主合作开展塑料材料的回收和再利用。多数产业经营者严格遵守环境规则，把逆向物流纳入供应链。Darnall等人[39]和Laosirihongthong等人[40]的研究显示，企业愿意实施逆向物流等绿色实践，以避免环境法律带来的法律后果。在非洲，Adebambo和Adebayo[41]发现，尼日利亚食品饮料企业因环境政策要求，必须把逆向物流纳入供应链。</w:t>
      </w:r>
    </w:p>
    <w:p>
      <w:pPr>
        <w:spacing w:line="269" w:lineRule="auto" w:after="100"/>
      </w:pPr>
      <w:r>
        <w:t>尽管埃塞俄比亚制定了废弃物处置环境公告，但其中没有针对废旧塑料瓶的明确规定。无论国家公告如何要求，埃塞俄比亚几乎所有塑料材料都没有依法管理，影响环境可持续性。由于社区缺乏废弃物管理意识，并且忽视废弃物公告，与其他发展中国家一样，埃塞俄比亚几乎所有城镇都受到塑料废弃物影响[42,43]。多数制造企业（如塑料行业）无法充分重视逆向物流流程，而是把重点放在正向物流活动上[24,44]。环境保护是发达国家和发展中国家企业主与政府共同承担的任务。埃塞俄比亚正在采取行动建设和实施绿色经济，但来自废旧瓶装水的废弃物回收和逆向物流系统实施仍是难题[32]。</w:t>
      </w:r>
    </w:p>
    <w:p>
      <w:pPr>
        <w:spacing w:line="269" w:lineRule="auto" w:after="100"/>
      </w:pPr>
      <w:r>
        <w:t>埃塞俄比亚城市居民在家庭、工作场所或酒店偏好瓶装水，却不了解使用过的塑料包装对生态系统的影响[28]。由于识字率和公众意识不足，多数公民社会把废弃物管理视为政府部门的单独责任。Gobena等人[45]指出，由于缺乏完整的逆向物流体系，埃塞俄比亚大多数废旧塑料无法从最终用户处收集并送回回收中心。</w:t>
      </w:r>
    </w:p>
    <w:p>
      <w:pPr>
        <w:jc w:val="center"/>
      </w:pPr>
      <w:r>
        <w:drawing>
          <wp:inline xmlns:a="http://schemas.openxmlformats.org/drawingml/2006/main" xmlns:pic="http://schemas.openxmlformats.org/drawingml/2006/picture">
            <wp:extent cx="5212080" cy="3171705"/>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212080" cy="3171705"/>
                    </a:xfrm>
                    <a:prstGeom prst="rect"/>
                  </pic:spPr>
                </pic:pic>
              </a:graphicData>
            </a:graphic>
          </wp:inline>
        </w:drawing>
      </w:r>
    </w:p>
    <w:p>
      <w:pPr>
        <w:spacing w:line="269" w:lineRule="auto" w:after="100"/>
      </w:pPr>
      <w:r>
        <w:t>图2：废旧塑料瓶回收和废弃物管理中建议的逆向物流路径。根据文献综述建立的概念框架，废旧塑料瓶从最终用户处收集后，经过加工（清洗和分拣）、再制造，再把装满水的更新塑料瓶重新分配给用户。实施塑料瓶逆向物流可以降低原材料成本，履行企业社会责任并塑造企业形象，降低环境影响，保护环境；相关政策还可以强制推动塑料回收中的逆向物流实施。</w:t>
      </w:r>
    </w:p>
    <w:p>
      <w:pPr>
        <w:spacing w:line="269" w:lineRule="auto" w:after="100"/>
      </w:pPr>
      <w:r>
        <w:t>在瓶装水废弃物管理中实施逆向物流，也有助于实现可持续发展目标（SDGs），包括SDG3（良好健康与福祉）、SDG6（清洁饮水和卫生设施）、SDG8（体面工作和经济增长）、SDG9（产业、创新和基础设施）、SDG11（可持续城市和社区）、SDG12（负责任消费和生产）、SDG13（气候行动）、SDG14（水下生物）和SDG15（陆地生物）[46,47]。安全处理和回收塑料废弃物，对于减少塑料污染、支持环境保护和可持续发展目标十分关键[48]。因此，在业务活动中实施逆向物流，对减少废弃物并实现2030年可持续发展目标具有重要作用。</w:t>
      </w:r>
    </w:p>
    <w:p>
      <w:pPr>
        <w:spacing w:line="269" w:lineRule="auto" w:after="100"/>
      </w:pPr>
      <w:r>
        <w:t>本文的主要目的，是研究逆向物流在埃塞俄比亚废旧塑料瓶回收和废弃物管理中的作用。此外，研究还考察逆向物流实践、推动企业实施逆向物流的因素、实施逆向物流活动可能面临的挑战，以及改进研究地区逆向物流实施的可选方案。第2节介绍研究方法，第3节介绍数据分析与解释，第4节和第5节分别讨论研究发现并给出结论，第6节介绍研究局限和未来研究启示。</w:t>
      </w:r>
    </w:p>
    <w:p>
      <w:pPr>
        <w:pStyle w:val="Heading1"/>
        <w:spacing w:before="180" w:after="80"/>
      </w:pPr>
      <w:r>
        <w:t>2 材料与方法</w:t>
      </w:r>
    </w:p>
    <w:p>
      <w:pPr>
        <w:spacing w:line="269" w:lineRule="auto" w:after="100"/>
      </w:pPr>
      <w:r>
        <w:t>为增强研究发现的有效性并全面分析可观察事实，研究采用定量与定性相结合的混合研究方法。同时采用描述性研究设计，以更准确地描述研究总体或研究情境。</w:t>
      </w:r>
    </w:p>
    <w:p>
      <w:pPr>
        <w:pStyle w:val="Heading2"/>
        <w:spacing w:before="180" w:after="80"/>
      </w:pPr>
      <w:r>
        <w:t>2.1 研究总体与样本量估计</w:t>
      </w:r>
    </w:p>
    <w:p>
      <w:pPr>
        <w:spacing w:line="269" w:lineRule="auto" w:after="100"/>
      </w:pPr>
      <w:r>
        <w:t>目标总体是指在某一特定地理区域（如县、州、地区、城市或城镇）内，按照年龄和性别纳入研究的总体[50]。本研究目标总体包括阿姆博大学全体学术员工和阿姆博市政府员工。研究者从中选择受访者样本，并使用Yamane[51]提供的样本量估计公式。在阿姆博大学和阿姆博市政府共726名员工中，选取258人为样本。</w:t>
      </w:r>
    </w:p>
    <w:p>
      <w:pPr>
        <w:spacing w:line="269" w:lineRule="auto" w:after="100"/>
      </w:pPr>
      <w:r>
        <w:t>n = N / [1 + N(e²)] = 726 / [1 + 726(0.05²)] = 258。</w:t>
        <w:br/>
        <w:t>其中，N为总体数量，n为样本量，e为可接受的抽样误差。按照上述公式，726人的总体对应258人的样本量；按照Yamane方法，这是在95%置信区间下维持研究所需的最低受访者数量。</w:t>
      </w:r>
    </w:p>
    <w:p>
      <w:pPr>
        <w:spacing w:line="269" w:lineRule="auto" w:after="100"/>
      </w:pPr>
      <w:r>
        <w:t>采用比例抽样法分别确定两个单位的样本量。阿姆博大学共有486名学术员工，阿姆博市政府共有240名员工。大学员工占726人的67%，因此样本为0.67×258=173人；市政府员工占33%，样本为0.33×258=85人。最终，本研究样本包括大学员工173人和市政府员工85人，共258名受访者。研究还选择管理者和部门负责人等被认为掌握一手信息的关键员工进行面对面访谈。</w:t>
      </w:r>
    </w:p>
    <w:p>
      <w:pPr>
        <w:pStyle w:val="Heading2"/>
        <w:spacing w:before="180" w:after="80"/>
      </w:pPr>
      <w:r>
        <w:t>2.2 数据来源</w:t>
      </w:r>
    </w:p>
    <w:p>
      <w:pPr>
        <w:spacing w:line="269" w:lineRule="auto" w:after="100"/>
      </w:pPr>
      <w:r>
        <w:t>作者同时从一手和二手来源收集信息。一手数据收集工具为问卷和访谈；二手数据主要来自手册、宣传册以及其他政府政策文件。</w:t>
      </w:r>
    </w:p>
    <w:p>
      <w:pPr>
        <w:pStyle w:val="Heading2"/>
        <w:spacing w:before="180" w:after="80"/>
      </w:pPr>
      <w:r>
        <w:t>2.3 研究工具的效度与信度</w:t>
      </w:r>
    </w:p>
    <w:p>
      <w:pPr>
        <w:spacing w:line="269" w:lineRule="auto" w:after="100"/>
      </w:pPr>
      <w:r>
        <w:t>效度取决于研究工具是否测量了研究者预期的结果[50]。本研究在设计工具时采用简单语言，确保受访者能够理解；在正式使用问卷前，由相关专业人员评估；熟悉研究主题的顾问和专家团队审查并确认其准确性。研究者还通过预测试发现问题、收集建议、改进研究方法，并根据预测试结果确认最终研究工具。</w:t>
      </w:r>
    </w:p>
    <w:p>
      <w:pPr>
        <w:spacing w:line="269" w:lineRule="auto" w:after="100"/>
      </w:pPr>
      <w:r>
        <w:t>研究使用Cronbach α系数检验问卷的效度和信度。该系数范围为0至1，用于描述二分或横截面调查题项的可靠性，数值越大通常越可靠[53]。</w:t>
      </w:r>
    </w:p>
    <w:p>
      <w:pPr>
        <w:pStyle w:val="Heading2"/>
        <w:spacing w:before="180" w:after="80"/>
      </w:pPr>
      <w:r>
        <w:t>2.4 数据分析方法</w:t>
      </w:r>
    </w:p>
    <w:p>
      <w:pPr>
        <w:spacing w:line="269" w:lineRule="auto" w:after="100"/>
      </w:pPr>
      <w:r>
        <w:t>研究使用描述性统计工具分析收集的数据，包括采用SPSS 23计算的频数和百分比。定量数据主要通过表格、百分比、均值和排序表达；从访谈和文件中获得的数据则进行定性分析，以加强问卷分析。</w:t>
      </w:r>
    </w:p>
    <w:p>
      <w:pPr>
        <w:pStyle w:val="Heading1"/>
        <w:spacing w:before="180" w:after="80"/>
      </w:pPr>
      <w:r>
        <w:t>3 分析与解释</w:t>
      </w:r>
    </w:p>
    <w:p>
      <w:pPr>
        <w:spacing w:line="269" w:lineRule="auto" w:after="100"/>
      </w:pPr>
      <w:r>
        <w:t>本节展示研究结果。问卷信息使用SPSS 23进行分析和解释。</w:t>
      </w:r>
    </w:p>
    <w:p>
      <w:pPr>
        <w:pStyle w:val="Heading2"/>
        <w:spacing w:before="180" w:after="80"/>
      </w:pPr>
      <w:r>
        <w:t>3.1 效度与信度</w:t>
      </w:r>
    </w:p>
    <w:p>
      <w:pPr>
        <w:spacing w:line="269" w:lineRule="auto" w:after="100"/>
      </w:pPr>
      <w:r>
        <w:t>研究使用所有调查参与者的数据计算Cronbach α，并分别对各组成部分进行信度检验，以考察结果的稳定性。Field[53]指出，社会科学中通常以0.70作为题项量表的可接受界限。本研究的Cronbach α检验结果如下。</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sz w:val="18"/>
              </w:rPr>
              <w:t>指标</w:t>
            </w:r>
          </w:p>
        </w:tc>
        <w:tc>
          <w:tcPr>
            <w:tcW w:type="dxa" w:w="4896"/>
            <w:shd w:fill="D9EAF7"/>
            <w:vAlign w:val="center"/>
          </w:tcPr>
          <w:p>
            <w:r>
              <w:rPr>
                <w:b/>
                <w:sz w:val="18"/>
              </w:rPr>
              <w:t>数值</w:t>
            </w:r>
          </w:p>
        </w:tc>
      </w:tr>
      <w:tr>
        <w:tc>
          <w:tcPr>
            <w:tcW w:type="dxa" w:w="4896"/>
            <w:vAlign w:val="center"/>
          </w:tcPr>
          <w:p>
            <w:r>
              <w:rPr>
                <w:sz w:val="17"/>
              </w:rPr>
              <w:t>Cronbach α</w:t>
            </w:r>
          </w:p>
        </w:tc>
        <w:tc>
          <w:tcPr>
            <w:tcW w:type="dxa" w:w="4896"/>
            <w:vAlign w:val="center"/>
          </w:tcPr>
          <w:p>
            <w:r>
              <w:rPr>
                <w:sz w:val="17"/>
              </w:rPr>
              <w:t>0.997</w:t>
            </w:r>
          </w:p>
        </w:tc>
      </w:tr>
      <w:tr>
        <w:tc>
          <w:tcPr>
            <w:tcW w:type="dxa" w:w="4896"/>
            <w:vAlign w:val="center"/>
          </w:tcPr>
          <w:p>
            <w:r>
              <w:rPr>
                <w:sz w:val="17"/>
              </w:rPr>
              <w:t>标准化Cronbach α</w:t>
            </w:r>
          </w:p>
        </w:tc>
        <w:tc>
          <w:tcPr>
            <w:tcW w:type="dxa" w:w="4896"/>
            <w:vAlign w:val="center"/>
          </w:tcPr>
          <w:p>
            <w:r>
              <w:rPr>
                <w:sz w:val="17"/>
              </w:rPr>
              <w:t>0.997</w:t>
            </w:r>
          </w:p>
        </w:tc>
      </w:tr>
      <w:tr>
        <w:tc>
          <w:tcPr>
            <w:tcW w:type="dxa" w:w="4896"/>
            <w:vAlign w:val="center"/>
          </w:tcPr>
          <w:p>
            <w:r>
              <w:rPr>
                <w:sz w:val="17"/>
              </w:rPr>
              <w:t>题项数</w:t>
            </w:r>
          </w:p>
        </w:tc>
        <w:tc>
          <w:tcPr>
            <w:tcW w:type="dxa" w:w="4896"/>
            <w:vAlign w:val="center"/>
          </w:tcPr>
          <w:p>
            <w:r>
              <w:rPr>
                <w:sz w:val="17"/>
              </w:rPr>
              <w:t>45</w:t>
            </w:r>
          </w:p>
        </w:tc>
      </w:tr>
    </w:tbl>
    <w:p>
      <w:pPr>
        <w:spacing w:after="40"/>
      </w:pPr>
    </w:p>
    <w:p>
      <w:pPr>
        <w:spacing w:line="269" w:lineRule="auto" w:after="100"/>
      </w:pPr>
      <w:r>
        <w:t>来源：2022年调查结果。所有预测变量和变化结果的Cronbach α均为0.997，大于0.70的可靠性界限，说明数据适合开展本研究。</w:t>
      </w:r>
    </w:p>
    <w:p>
      <w:pPr>
        <w:pStyle w:val="Heading2"/>
        <w:spacing w:before="180" w:after="80"/>
      </w:pPr>
      <w:r>
        <w:t>3.2 受访者人口统计特征</w:t>
      </w:r>
    </w:p>
    <w:p>
      <w:pPr>
        <w:spacing w:line="269" w:lineRule="auto" w:after="100"/>
      </w:pPr>
      <w:r>
        <w:t>表2显示，64%的参与者为男性，男性受访者比例高于女性。大多数参与者处于31—50岁的工作年龄段，能够提供较真实、准确的数据。教育程度方面，多数受访者毕业于大学或学院，这可能有助于他们理解问卷并作出准确回答。工作经历方面，多数参与者在工作单位已经工作了较长时间，因此对周边环境有足够经验。</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sz w:val="18"/>
              </w:rPr>
              <w:t>人口特征</w:t>
            </w:r>
          </w:p>
        </w:tc>
        <w:tc>
          <w:tcPr>
            <w:tcW w:type="dxa" w:w="1958"/>
            <w:shd w:fill="D9EAF7"/>
            <w:vAlign w:val="center"/>
          </w:tcPr>
          <w:p>
            <w:r>
              <w:rPr>
                <w:b/>
                <w:sz w:val="18"/>
              </w:rPr>
              <w:t>类别</w:t>
            </w:r>
          </w:p>
        </w:tc>
        <w:tc>
          <w:tcPr>
            <w:tcW w:type="dxa" w:w="1958"/>
            <w:shd w:fill="D9EAF7"/>
            <w:vAlign w:val="center"/>
          </w:tcPr>
          <w:p>
            <w:r>
              <w:rPr>
                <w:b/>
                <w:sz w:val="18"/>
              </w:rPr>
              <w:t>频数</w:t>
            </w:r>
          </w:p>
        </w:tc>
        <w:tc>
          <w:tcPr>
            <w:tcW w:type="dxa" w:w="1958"/>
            <w:shd w:fill="D9EAF7"/>
            <w:vAlign w:val="center"/>
          </w:tcPr>
          <w:p>
            <w:r>
              <w:rPr>
                <w:b/>
                <w:sz w:val="18"/>
              </w:rPr>
              <w:t>百分比</w:t>
            </w:r>
          </w:p>
        </w:tc>
        <w:tc>
          <w:tcPr>
            <w:tcW w:type="dxa" w:w="1958"/>
            <w:shd w:fill="D9EAF7"/>
            <w:vAlign w:val="center"/>
          </w:tcPr>
          <w:p>
            <w:r>
              <w:rPr>
                <w:b/>
                <w:sz w:val="18"/>
              </w:rPr>
              <w:t>累计百分比</w:t>
            </w:r>
          </w:p>
        </w:tc>
      </w:tr>
      <w:tr>
        <w:tc>
          <w:tcPr>
            <w:tcW w:type="dxa" w:w="1958"/>
            <w:vAlign w:val="center"/>
          </w:tcPr>
          <w:p>
            <w:r>
              <w:rPr>
                <w:sz w:val="17"/>
              </w:rPr>
              <w:t>性别</w:t>
            </w:r>
          </w:p>
        </w:tc>
        <w:tc>
          <w:tcPr>
            <w:tcW w:type="dxa" w:w="1958"/>
            <w:vAlign w:val="center"/>
          </w:tcPr>
          <w:p>
            <w:r>
              <w:rPr>
                <w:sz w:val="17"/>
              </w:rPr>
              <w:t>男性</w:t>
            </w:r>
          </w:p>
        </w:tc>
        <w:tc>
          <w:tcPr>
            <w:tcW w:type="dxa" w:w="1958"/>
            <w:vAlign w:val="center"/>
          </w:tcPr>
          <w:p>
            <w:r>
              <w:rPr>
                <w:sz w:val="17"/>
              </w:rPr>
              <w:t>165</w:t>
            </w:r>
          </w:p>
        </w:tc>
        <w:tc>
          <w:tcPr>
            <w:tcW w:type="dxa" w:w="1958"/>
            <w:vAlign w:val="center"/>
          </w:tcPr>
          <w:p>
            <w:r>
              <w:rPr>
                <w:sz w:val="17"/>
              </w:rPr>
              <w:t>64.0</w:t>
            </w:r>
          </w:p>
        </w:tc>
        <w:tc>
          <w:tcPr>
            <w:tcW w:type="dxa" w:w="1958"/>
            <w:vAlign w:val="center"/>
          </w:tcPr>
          <w:p>
            <w:r>
              <w:rPr>
                <w:sz w:val="17"/>
              </w:rPr>
              <w:t>64.0</w:t>
            </w:r>
          </w:p>
        </w:tc>
      </w:tr>
      <w:tr>
        <w:tc>
          <w:tcPr>
            <w:tcW w:type="dxa" w:w="1958"/>
            <w:vAlign w:val="center"/>
          </w:tcPr>
          <w:p>
            <w:r>
              <w:rPr>
                <w:sz w:val="17"/>
              </w:rPr>
            </w:r>
          </w:p>
        </w:tc>
        <w:tc>
          <w:tcPr>
            <w:tcW w:type="dxa" w:w="1958"/>
            <w:vAlign w:val="center"/>
          </w:tcPr>
          <w:p>
            <w:r>
              <w:rPr>
                <w:sz w:val="17"/>
              </w:rPr>
              <w:t>女性</w:t>
            </w:r>
          </w:p>
        </w:tc>
        <w:tc>
          <w:tcPr>
            <w:tcW w:type="dxa" w:w="1958"/>
            <w:vAlign w:val="center"/>
          </w:tcPr>
          <w:p>
            <w:r>
              <w:rPr>
                <w:sz w:val="17"/>
              </w:rPr>
              <w:t>93</w:t>
            </w:r>
          </w:p>
        </w:tc>
        <w:tc>
          <w:tcPr>
            <w:tcW w:type="dxa" w:w="1958"/>
            <w:vAlign w:val="center"/>
          </w:tcPr>
          <w:p>
            <w:r>
              <w:rPr>
                <w:sz w:val="17"/>
              </w:rPr>
              <w:t>36.0</w:t>
            </w:r>
          </w:p>
        </w:tc>
        <w:tc>
          <w:tcPr>
            <w:tcW w:type="dxa" w:w="1958"/>
            <w:vAlign w:val="center"/>
          </w:tcPr>
          <w:p>
            <w:r>
              <w:rPr>
                <w:sz w:val="17"/>
              </w:rPr>
              <w:t>100.0</w:t>
            </w:r>
          </w:p>
        </w:tc>
      </w:tr>
      <w:tr>
        <w:tc>
          <w:tcPr>
            <w:tcW w:type="dxa" w:w="1958"/>
            <w:vAlign w:val="center"/>
          </w:tcPr>
          <w:p>
            <w:r>
              <w:rPr>
                <w:sz w:val="17"/>
              </w:rPr>
              <w:t>年龄</w:t>
            </w:r>
          </w:p>
        </w:tc>
        <w:tc>
          <w:tcPr>
            <w:tcW w:type="dxa" w:w="1958"/>
            <w:vAlign w:val="center"/>
          </w:tcPr>
          <w:p>
            <w:r>
              <w:rPr>
                <w:sz w:val="17"/>
              </w:rPr>
              <w:t>18—30岁</w:t>
            </w:r>
          </w:p>
        </w:tc>
        <w:tc>
          <w:tcPr>
            <w:tcW w:type="dxa" w:w="1958"/>
            <w:vAlign w:val="center"/>
          </w:tcPr>
          <w:p>
            <w:r>
              <w:rPr>
                <w:sz w:val="17"/>
              </w:rPr>
              <w:t>47</w:t>
            </w:r>
          </w:p>
        </w:tc>
        <w:tc>
          <w:tcPr>
            <w:tcW w:type="dxa" w:w="1958"/>
            <w:vAlign w:val="center"/>
          </w:tcPr>
          <w:p>
            <w:r>
              <w:rPr>
                <w:sz w:val="17"/>
              </w:rPr>
              <w:t>18.2</w:t>
            </w:r>
          </w:p>
        </w:tc>
        <w:tc>
          <w:tcPr>
            <w:tcW w:type="dxa" w:w="1958"/>
            <w:vAlign w:val="center"/>
          </w:tcPr>
          <w:p>
            <w:r>
              <w:rPr>
                <w:sz w:val="17"/>
              </w:rPr>
              <w:t>18.2</w:t>
            </w:r>
          </w:p>
        </w:tc>
      </w:tr>
      <w:tr>
        <w:tc>
          <w:tcPr>
            <w:tcW w:type="dxa" w:w="1958"/>
            <w:vAlign w:val="center"/>
          </w:tcPr>
          <w:p>
            <w:r>
              <w:rPr>
                <w:sz w:val="17"/>
              </w:rPr>
            </w:r>
          </w:p>
        </w:tc>
        <w:tc>
          <w:tcPr>
            <w:tcW w:type="dxa" w:w="1958"/>
            <w:vAlign w:val="center"/>
          </w:tcPr>
          <w:p>
            <w:r>
              <w:rPr>
                <w:sz w:val="17"/>
              </w:rPr>
              <w:t>31—40岁</w:t>
            </w:r>
          </w:p>
        </w:tc>
        <w:tc>
          <w:tcPr>
            <w:tcW w:type="dxa" w:w="1958"/>
            <w:vAlign w:val="center"/>
          </w:tcPr>
          <w:p>
            <w:r>
              <w:rPr>
                <w:sz w:val="17"/>
              </w:rPr>
              <w:t>96</w:t>
            </w:r>
          </w:p>
        </w:tc>
        <w:tc>
          <w:tcPr>
            <w:tcW w:type="dxa" w:w="1958"/>
            <w:vAlign w:val="center"/>
          </w:tcPr>
          <w:p>
            <w:r>
              <w:rPr>
                <w:sz w:val="17"/>
              </w:rPr>
              <w:t>37.2</w:t>
            </w:r>
          </w:p>
        </w:tc>
        <w:tc>
          <w:tcPr>
            <w:tcW w:type="dxa" w:w="1958"/>
            <w:vAlign w:val="center"/>
          </w:tcPr>
          <w:p>
            <w:r>
              <w:rPr>
                <w:sz w:val="17"/>
              </w:rPr>
              <w:t>55.4</w:t>
            </w:r>
          </w:p>
        </w:tc>
      </w:tr>
      <w:tr>
        <w:tc>
          <w:tcPr>
            <w:tcW w:type="dxa" w:w="1958"/>
            <w:vAlign w:val="center"/>
          </w:tcPr>
          <w:p>
            <w:r>
              <w:rPr>
                <w:sz w:val="17"/>
              </w:rPr>
            </w:r>
          </w:p>
        </w:tc>
        <w:tc>
          <w:tcPr>
            <w:tcW w:type="dxa" w:w="1958"/>
            <w:vAlign w:val="center"/>
          </w:tcPr>
          <w:p>
            <w:r>
              <w:rPr>
                <w:sz w:val="17"/>
              </w:rPr>
              <w:t>41—50岁</w:t>
            </w:r>
          </w:p>
        </w:tc>
        <w:tc>
          <w:tcPr>
            <w:tcW w:type="dxa" w:w="1958"/>
            <w:vAlign w:val="center"/>
          </w:tcPr>
          <w:p>
            <w:r>
              <w:rPr>
                <w:sz w:val="17"/>
              </w:rPr>
              <w:t>105</w:t>
            </w:r>
          </w:p>
        </w:tc>
        <w:tc>
          <w:tcPr>
            <w:tcW w:type="dxa" w:w="1958"/>
            <w:vAlign w:val="center"/>
          </w:tcPr>
          <w:p>
            <w:r>
              <w:rPr>
                <w:sz w:val="17"/>
              </w:rPr>
              <w:t>40.7</w:t>
            </w:r>
          </w:p>
        </w:tc>
        <w:tc>
          <w:tcPr>
            <w:tcW w:type="dxa" w:w="1958"/>
            <w:vAlign w:val="center"/>
          </w:tcPr>
          <w:p>
            <w:r>
              <w:rPr>
                <w:sz w:val="17"/>
              </w:rPr>
              <w:t>96.1</w:t>
            </w:r>
          </w:p>
        </w:tc>
      </w:tr>
      <w:tr>
        <w:tc>
          <w:tcPr>
            <w:tcW w:type="dxa" w:w="1958"/>
            <w:vAlign w:val="center"/>
          </w:tcPr>
          <w:p>
            <w:r>
              <w:rPr>
                <w:sz w:val="17"/>
              </w:rPr>
            </w:r>
          </w:p>
        </w:tc>
        <w:tc>
          <w:tcPr>
            <w:tcW w:type="dxa" w:w="1958"/>
            <w:vAlign w:val="center"/>
          </w:tcPr>
          <w:p>
            <w:r>
              <w:rPr>
                <w:sz w:val="17"/>
              </w:rPr>
              <w:t>51岁以上</w:t>
            </w:r>
          </w:p>
        </w:tc>
        <w:tc>
          <w:tcPr>
            <w:tcW w:type="dxa" w:w="1958"/>
            <w:vAlign w:val="center"/>
          </w:tcPr>
          <w:p>
            <w:r>
              <w:rPr>
                <w:sz w:val="17"/>
              </w:rPr>
              <w:t>10</w:t>
            </w:r>
          </w:p>
        </w:tc>
        <w:tc>
          <w:tcPr>
            <w:tcW w:type="dxa" w:w="1958"/>
            <w:vAlign w:val="center"/>
          </w:tcPr>
          <w:p>
            <w:r>
              <w:rPr>
                <w:sz w:val="17"/>
              </w:rPr>
              <w:t>3.9</w:t>
            </w:r>
          </w:p>
        </w:tc>
        <w:tc>
          <w:tcPr>
            <w:tcW w:type="dxa" w:w="1958"/>
            <w:vAlign w:val="center"/>
          </w:tcPr>
          <w:p>
            <w:r>
              <w:rPr>
                <w:sz w:val="17"/>
              </w:rPr>
              <w:t>100</w:t>
            </w:r>
          </w:p>
        </w:tc>
      </w:tr>
      <w:tr>
        <w:tc>
          <w:tcPr>
            <w:tcW w:type="dxa" w:w="1958"/>
            <w:vAlign w:val="center"/>
          </w:tcPr>
          <w:p>
            <w:r>
              <w:rPr>
                <w:sz w:val="17"/>
              </w:rPr>
              <w:t>教育程度</w:t>
            </w:r>
          </w:p>
        </w:tc>
        <w:tc>
          <w:tcPr>
            <w:tcW w:type="dxa" w:w="1958"/>
            <w:vAlign w:val="center"/>
          </w:tcPr>
          <w:p>
            <w:r>
              <w:rPr>
                <w:sz w:val="17"/>
              </w:rPr>
              <w:t>文凭</w:t>
            </w:r>
          </w:p>
        </w:tc>
        <w:tc>
          <w:tcPr>
            <w:tcW w:type="dxa" w:w="1958"/>
            <w:vAlign w:val="center"/>
          </w:tcPr>
          <w:p>
            <w:r>
              <w:rPr>
                <w:sz w:val="17"/>
              </w:rPr>
              <w:t>53</w:t>
            </w:r>
          </w:p>
        </w:tc>
        <w:tc>
          <w:tcPr>
            <w:tcW w:type="dxa" w:w="1958"/>
            <w:vAlign w:val="center"/>
          </w:tcPr>
          <w:p>
            <w:r>
              <w:rPr>
                <w:sz w:val="17"/>
              </w:rPr>
              <w:t>20.5</w:t>
            </w:r>
          </w:p>
        </w:tc>
        <w:tc>
          <w:tcPr>
            <w:tcW w:type="dxa" w:w="1958"/>
            <w:vAlign w:val="center"/>
          </w:tcPr>
          <w:p>
            <w:r>
              <w:rPr>
                <w:sz w:val="17"/>
              </w:rPr>
              <w:t>20.5</w:t>
            </w:r>
          </w:p>
        </w:tc>
      </w:tr>
      <w:tr>
        <w:tc>
          <w:tcPr>
            <w:tcW w:type="dxa" w:w="1958"/>
            <w:vAlign w:val="center"/>
          </w:tcPr>
          <w:p>
            <w:r>
              <w:rPr>
                <w:sz w:val="17"/>
              </w:rPr>
            </w:r>
          </w:p>
        </w:tc>
        <w:tc>
          <w:tcPr>
            <w:tcW w:type="dxa" w:w="1958"/>
            <w:vAlign w:val="center"/>
          </w:tcPr>
          <w:p>
            <w:r>
              <w:rPr>
                <w:sz w:val="17"/>
              </w:rPr>
              <w:t>第一学位</w:t>
            </w:r>
          </w:p>
        </w:tc>
        <w:tc>
          <w:tcPr>
            <w:tcW w:type="dxa" w:w="1958"/>
            <w:vAlign w:val="center"/>
          </w:tcPr>
          <w:p>
            <w:r>
              <w:rPr>
                <w:sz w:val="17"/>
              </w:rPr>
              <w:t>64</w:t>
            </w:r>
          </w:p>
        </w:tc>
        <w:tc>
          <w:tcPr>
            <w:tcW w:type="dxa" w:w="1958"/>
            <w:vAlign w:val="center"/>
          </w:tcPr>
          <w:p>
            <w:r>
              <w:rPr>
                <w:sz w:val="17"/>
              </w:rPr>
              <w:t>24.8</w:t>
            </w:r>
          </w:p>
        </w:tc>
        <w:tc>
          <w:tcPr>
            <w:tcW w:type="dxa" w:w="1958"/>
            <w:vAlign w:val="center"/>
          </w:tcPr>
          <w:p>
            <w:r>
              <w:rPr>
                <w:sz w:val="17"/>
              </w:rPr>
              <w:t>45.3</w:t>
            </w:r>
          </w:p>
        </w:tc>
      </w:tr>
      <w:tr>
        <w:tc>
          <w:tcPr>
            <w:tcW w:type="dxa" w:w="1958"/>
            <w:vAlign w:val="center"/>
          </w:tcPr>
          <w:p>
            <w:r>
              <w:rPr>
                <w:sz w:val="17"/>
              </w:rPr>
            </w:r>
          </w:p>
        </w:tc>
        <w:tc>
          <w:tcPr>
            <w:tcW w:type="dxa" w:w="1958"/>
            <w:vAlign w:val="center"/>
          </w:tcPr>
          <w:p>
            <w:r>
              <w:rPr>
                <w:sz w:val="17"/>
              </w:rPr>
              <w:t>硕士学位</w:t>
            </w:r>
          </w:p>
        </w:tc>
        <w:tc>
          <w:tcPr>
            <w:tcW w:type="dxa" w:w="1958"/>
            <w:vAlign w:val="center"/>
          </w:tcPr>
          <w:p>
            <w:r>
              <w:rPr>
                <w:sz w:val="17"/>
              </w:rPr>
              <w:t>87</w:t>
            </w:r>
          </w:p>
        </w:tc>
        <w:tc>
          <w:tcPr>
            <w:tcW w:type="dxa" w:w="1958"/>
            <w:vAlign w:val="center"/>
          </w:tcPr>
          <w:p>
            <w:r>
              <w:rPr>
                <w:sz w:val="17"/>
              </w:rPr>
              <w:t>33.7</w:t>
            </w:r>
          </w:p>
        </w:tc>
        <w:tc>
          <w:tcPr>
            <w:tcW w:type="dxa" w:w="1958"/>
            <w:vAlign w:val="center"/>
          </w:tcPr>
          <w:p>
            <w:r>
              <w:rPr>
                <w:sz w:val="17"/>
              </w:rPr>
              <w:t>79.1</w:t>
            </w:r>
          </w:p>
        </w:tc>
      </w:tr>
      <w:tr>
        <w:tc>
          <w:tcPr>
            <w:tcW w:type="dxa" w:w="1958"/>
            <w:vAlign w:val="center"/>
          </w:tcPr>
          <w:p>
            <w:r>
              <w:rPr>
                <w:sz w:val="17"/>
              </w:rPr>
            </w:r>
          </w:p>
        </w:tc>
        <w:tc>
          <w:tcPr>
            <w:tcW w:type="dxa" w:w="1958"/>
            <w:vAlign w:val="center"/>
          </w:tcPr>
          <w:p>
            <w:r>
              <w:rPr>
                <w:sz w:val="17"/>
              </w:rPr>
              <w:t>硕士以上</w:t>
            </w:r>
          </w:p>
        </w:tc>
        <w:tc>
          <w:tcPr>
            <w:tcW w:type="dxa" w:w="1958"/>
            <w:vAlign w:val="center"/>
          </w:tcPr>
          <w:p>
            <w:r>
              <w:rPr>
                <w:sz w:val="17"/>
              </w:rPr>
              <w:t>54</w:t>
            </w:r>
          </w:p>
        </w:tc>
        <w:tc>
          <w:tcPr>
            <w:tcW w:type="dxa" w:w="1958"/>
            <w:vAlign w:val="center"/>
          </w:tcPr>
          <w:p>
            <w:r>
              <w:rPr>
                <w:sz w:val="17"/>
              </w:rPr>
              <w:t>20.9</w:t>
            </w:r>
          </w:p>
        </w:tc>
        <w:tc>
          <w:tcPr>
            <w:tcW w:type="dxa" w:w="1958"/>
            <w:vAlign w:val="center"/>
          </w:tcPr>
          <w:p>
            <w:r>
              <w:rPr>
                <w:sz w:val="17"/>
              </w:rPr>
              <w:t>100</w:t>
            </w:r>
          </w:p>
        </w:tc>
      </w:tr>
      <w:tr>
        <w:tc>
          <w:tcPr>
            <w:tcW w:type="dxa" w:w="1958"/>
            <w:vAlign w:val="center"/>
          </w:tcPr>
          <w:p>
            <w:r>
              <w:rPr>
                <w:sz w:val="17"/>
              </w:rPr>
              <w:t>工作经历</w:t>
            </w:r>
          </w:p>
        </w:tc>
        <w:tc>
          <w:tcPr>
            <w:tcW w:type="dxa" w:w="1958"/>
            <w:vAlign w:val="center"/>
          </w:tcPr>
          <w:p>
            <w:r>
              <w:rPr>
                <w:sz w:val="17"/>
              </w:rPr>
              <w:t>无经验</w:t>
            </w:r>
          </w:p>
        </w:tc>
        <w:tc>
          <w:tcPr>
            <w:tcW w:type="dxa" w:w="1958"/>
            <w:vAlign w:val="center"/>
          </w:tcPr>
          <w:p>
            <w:r>
              <w:rPr>
                <w:sz w:val="17"/>
              </w:rPr>
              <w:t>36</w:t>
            </w:r>
          </w:p>
        </w:tc>
        <w:tc>
          <w:tcPr>
            <w:tcW w:type="dxa" w:w="1958"/>
            <w:vAlign w:val="center"/>
          </w:tcPr>
          <w:p>
            <w:r>
              <w:rPr>
                <w:sz w:val="17"/>
              </w:rPr>
              <w:t>14.0</w:t>
            </w:r>
          </w:p>
        </w:tc>
        <w:tc>
          <w:tcPr>
            <w:tcW w:type="dxa" w:w="1958"/>
            <w:vAlign w:val="center"/>
          </w:tcPr>
          <w:p>
            <w:r>
              <w:rPr>
                <w:sz w:val="17"/>
              </w:rPr>
              <w:t>14.0</w:t>
            </w:r>
          </w:p>
        </w:tc>
      </w:tr>
      <w:tr>
        <w:tc>
          <w:tcPr>
            <w:tcW w:type="dxa" w:w="1958"/>
            <w:vAlign w:val="center"/>
          </w:tcPr>
          <w:p>
            <w:r>
              <w:rPr>
                <w:sz w:val="17"/>
              </w:rPr>
            </w:r>
          </w:p>
        </w:tc>
        <w:tc>
          <w:tcPr>
            <w:tcW w:type="dxa" w:w="1958"/>
            <w:vAlign w:val="center"/>
          </w:tcPr>
          <w:p>
            <w:r>
              <w:rPr>
                <w:sz w:val="17"/>
              </w:rPr>
              <w:t>1—5年</w:t>
            </w:r>
          </w:p>
        </w:tc>
        <w:tc>
          <w:tcPr>
            <w:tcW w:type="dxa" w:w="1958"/>
            <w:vAlign w:val="center"/>
          </w:tcPr>
          <w:p>
            <w:r>
              <w:rPr>
                <w:sz w:val="17"/>
              </w:rPr>
              <w:t>88</w:t>
            </w:r>
          </w:p>
        </w:tc>
        <w:tc>
          <w:tcPr>
            <w:tcW w:type="dxa" w:w="1958"/>
            <w:vAlign w:val="center"/>
          </w:tcPr>
          <w:p>
            <w:r>
              <w:rPr>
                <w:sz w:val="17"/>
              </w:rPr>
              <w:t>34.1</w:t>
            </w:r>
          </w:p>
        </w:tc>
        <w:tc>
          <w:tcPr>
            <w:tcW w:type="dxa" w:w="1958"/>
            <w:vAlign w:val="center"/>
          </w:tcPr>
          <w:p>
            <w:r>
              <w:rPr>
                <w:sz w:val="17"/>
              </w:rPr>
              <w:t>48.1</w:t>
            </w:r>
          </w:p>
        </w:tc>
      </w:tr>
      <w:tr>
        <w:tc>
          <w:tcPr>
            <w:tcW w:type="dxa" w:w="1958"/>
            <w:vAlign w:val="center"/>
          </w:tcPr>
          <w:p>
            <w:r>
              <w:rPr>
                <w:sz w:val="17"/>
              </w:rPr>
            </w:r>
          </w:p>
        </w:tc>
        <w:tc>
          <w:tcPr>
            <w:tcW w:type="dxa" w:w="1958"/>
            <w:vAlign w:val="center"/>
          </w:tcPr>
          <w:p>
            <w:r>
              <w:rPr>
                <w:sz w:val="17"/>
              </w:rPr>
              <w:t>5—10年</w:t>
            </w:r>
          </w:p>
        </w:tc>
        <w:tc>
          <w:tcPr>
            <w:tcW w:type="dxa" w:w="1958"/>
            <w:vAlign w:val="center"/>
          </w:tcPr>
          <w:p>
            <w:r>
              <w:rPr>
                <w:sz w:val="17"/>
              </w:rPr>
              <w:t>73</w:t>
            </w:r>
          </w:p>
        </w:tc>
        <w:tc>
          <w:tcPr>
            <w:tcW w:type="dxa" w:w="1958"/>
            <w:vAlign w:val="center"/>
          </w:tcPr>
          <w:p>
            <w:r>
              <w:rPr>
                <w:sz w:val="17"/>
              </w:rPr>
              <w:t>28.3</w:t>
            </w:r>
          </w:p>
        </w:tc>
        <w:tc>
          <w:tcPr>
            <w:tcW w:type="dxa" w:w="1958"/>
            <w:vAlign w:val="center"/>
          </w:tcPr>
          <w:p>
            <w:r>
              <w:rPr>
                <w:sz w:val="17"/>
              </w:rPr>
              <w:t>76.4</w:t>
            </w:r>
          </w:p>
        </w:tc>
      </w:tr>
      <w:tr>
        <w:tc>
          <w:tcPr>
            <w:tcW w:type="dxa" w:w="1958"/>
            <w:vAlign w:val="center"/>
          </w:tcPr>
          <w:p>
            <w:r>
              <w:rPr>
                <w:sz w:val="17"/>
              </w:rPr>
            </w:r>
          </w:p>
        </w:tc>
        <w:tc>
          <w:tcPr>
            <w:tcW w:type="dxa" w:w="1958"/>
            <w:vAlign w:val="center"/>
          </w:tcPr>
          <w:p>
            <w:r>
              <w:rPr>
                <w:sz w:val="17"/>
              </w:rPr>
              <w:t>10年以上</w:t>
            </w:r>
          </w:p>
        </w:tc>
        <w:tc>
          <w:tcPr>
            <w:tcW w:type="dxa" w:w="1958"/>
            <w:vAlign w:val="center"/>
          </w:tcPr>
          <w:p>
            <w:r>
              <w:rPr>
                <w:sz w:val="17"/>
              </w:rPr>
              <w:t>61</w:t>
            </w:r>
          </w:p>
        </w:tc>
        <w:tc>
          <w:tcPr>
            <w:tcW w:type="dxa" w:w="1958"/>
            <w:vAlign w:val="center"/>
          </w:tcPr>
          <w:p>
            <w:r>
              <w:rPr>
                <w:sz w:val="17"/>
              </w:rPr>
              <w:t>23.6</w:t>
            </w:r>
          </w:p>
        </w:tc>
        <w:tc>
          <w:tcPr>
            <w:tcW w:type="dxa" w:w="1958"/>
            <w:vAlign w:val="center"/>
          </w:tcPr>
          <w:p>
            <w:r>
              <w:rPr>
                <w:sz w:val="17"/>
              </w:rPr>
              <w:t>100</w:t>
            </w:r>
          </w:p>
        </w:tc>
      </w:tr>
    </w:tbl>
    <w:p>
      <w:pPr>
        <w:spacing w:after="40"/>
      </w:pPr>
    </w:p>
    <w:p>
      <w:pPr>
        <w:spacing w:line="269" w:lineRule="auto" w:after="100"/>
      </w:pPr>
      <w:r>
        <w:t>来源：2022年调查结果。</w:t>
      </w:r>
    </w:p>
    <w:p>
      <w:pPr>
        <w:pStyle w:val="Heading2"/>
        <w:spacing w:before="180" w:after="80"/>
      </w:pPr>
      <w:r>
        <w:t>3.3 瓶装水使用情况</w:t>
      </w:r>
    </w:p>
    <w:p>
      <w:pPr>
        <w:spacing w:line="269" w:lineRule="auto" w:after="100"/>
      </w:pPr>
      <w:r>
        <w:t>表3显示，43.4%的受访者每周使用2—3瓶瓶装水，是中等频率使用者。品牌方面，“Aqua Addis”和“Yes”比“Ambo Mineral Water”和“Aqua Safe”更受欢迎。处置方式方面，58.9%的受访者表示使用后把塑料瓶随处丢弃，29.8%放入垃圾桶，只有11.2%会再利用。表4显示，降低价格、提高质量和采用更具吸引力、更环保的包装，都会鼓励购买。表5中，“瓶装水造成严重环境问题”“瓶装水正在商业化”“瓶装水越来越受欢迎”“自行准备水瓶不方便”等项目的均值高于平均值；“埃塞俄比亚自来水足够安全，可以直接饮用”和“瓶装水质量未必比自来水好”的均值低于平均值。总体而言，消费者仍然认为瓶装水优于纯净自来水。</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sz w:val="18"/>
              </w:rPr>
              <w:t>问题</w:t>
            </w:r>
          </w:p>
        </w:tc>
        <w:tc>
          <w:tcPr>
            <w:tcW w:type="dxa" w:w="1958"/>
            <w:shd w:fill="D9EAF7"/>
            <w:vAlign w:val="center"/>
          </w:tcPr>
          <w:p>
            <w:r>
              <w:rPr>
                <w:b/>
                <w:sz w:val="18"/>
              </w:rPr>
              <w:t>类别/回答</w:t>
            </w:r>
          </w:p>
        </w:tc>
        <w:tc>
          <w:tcPr>
            <w:tcW w:type="dxa" w:w="1958"/>
            <w:shd w:fill="D9EAF7"/>
            <w:vAlign w:val="center"/>
          </w:tcPr>
          <w:p>
            <w:r>
              <w:rPr>
                <w:b/>
                <w:sz w:val="18"/>
              </w:rPr>
              <w:t>频数</w:t>
            </w:r>
          </w:p>
        </w:tc>
        <w:tc>
          <w:tcPr>
            <w:tcW w:type="dxa" w:w="1958"/>
            <w:shd w:fill="D9EAF7"/>
            <w:vAlign w:val="center"/>
          </w:tcPr>
          <w:p>
            <w:r>
              <w:rPr>
                <w:b/>
                <w:sz w:val="18"/>
              </w:rPr>
              <w:t>百分比</w:t>
            </w:r>
          </w:p>
        </w:tc>
        <w:tc>
          <w:tcPr>
            <w:tcW w:type="dxa" w:w="1958"/>
            <w:shd w:fill="D9EAF7"/>
            <w:vAlign w:val="center"/>
          </w:tcPr>
          <w:p>
            <w:r>
              <w:rPr>
                <w:b/>
                <w:sz w:val="18"/>
              </w:rPr>
              <w:t>累计百分比</w:t>
            </w:r>
          </w:p>
        </w:tc>
      </w:tr>
      <w:tr>
        <w:tc>
          <w:tcPr>
            <w:tcW w:type="dxa" w:w="1958"/>
            <w:vAlign w:val="center"/>
          </w:tcPr>
          <w:p>
            <w:r>
              <w:rPr>
                <w:sz w:val="17"/>
              </w:rPr>
              <w:t>每周购买频率</w:t>
            </w:r>
          </w:p>
        </w:tc>
        <w:tc>
          <w:tcPr>
            <w:tcW w:type="dxa" w:w="1958"/>
            <w:vAlign w:val="center"/>
          </w:tcPr>
          <w:p>
            <w:r>
              <w:rPr>
                <w:sz w:val="17"/>
              </w:rPr>
              <w:t>从不</w:t>
            </w:r>
          </w:p>
        </w:tc>
        <w:tc>
          <w:tcPr>
            <w:tcW w:type="dxa" w:w="1958"/>
            <w:vAlign w:val="center"/>
          </w:tcPr>
          <w:p>
            <w:r>
              <w:rPr>
                <w:sz w:val="17"/>
              </w:rPr>
              <w:t>23</w:t>
            </w:r>
          </w:p>
        </w:tc>
        <w:tc>
          <w:tcPr>
            <w:tcW w:type="dxa" w:w="1958"/>
            <w:vAlign w:val="center"/>
          </w:tcPr>
          <w:p>
            <w:r>
              <w:rPr>
                <w:sz w:val="17"/>
              </w:rPr>
              <w:t>8.9</w:t>
            </w:r>
          </w:p>
        </w:tc>
        <w:tc>
          <w:tcPr>
            <w:tcW w:type="dxa" w:w="1958"/>
            <w:vAlign w:val="center"/>
          </w:tcPr>
          <w:p>
            <w:r>
              <w:rPr>
                <w:sz w:val="17"/>
              </w:rPr>
              <w:t>8.9</w:t>
            </w:r>
          </w:p>
        </w:tc>
      </w:tr>
      <w:tr>
        <w:tc>
          <w:tcPr>
            <w:tcW w:type="dxa" w:w="1958"/>
            <w:vAlign w:val="center"/>
          </w:tcPr>
          <w:p>
            <w:r>
              <w:rPr>
                <w:sz w:val="17"/>
              </w:rPr>
            </w:r>
          </w:p>
        </w:tc>
        <w:tc>
          <w:tcPr>
            <w:tcW w:type="dxa" w:w="1958"/>
            <w:vAlign w:val="center"/>
          </w:tcPr>
          <w:p>
            <w:r>
              <w:rPr>
                <w:sz w:val="17"/>
              </w:rPr>
              <w:t>每周0—1次</w:t>
            </w:r>
          </w:p>
        </w:tc>
        <w:tc>
          <w:tcPr>
            <w:tcW w:type="dxa" w:w="1958"/>
            <w:vAlign w:val="center"/>
          </w:tcPr>
          <w:p>
            <w:r>
              <w:rPr>
                <w:sz w:val="17"/>
              </w:rPr>
              <w:t>59</w:t>
            </w:r>
          </w:p>
        </w:tc>
        <w:tc>
          <w:tcPr>
            <w:tcW w:type="dxa" w:w="1958"/>
            <w:vAlign w:val="center"/>
          </w:tcPr>
          <w:p>
            <w:r>
              <w:rPr>
                <w:sz w:val="17"/>
              </w:rPr>
              <w:t>22.9</w:t>
            </w:r>
          </w:p>
        </w:tc>
        <w:tc>
          <w:tcPr>
            <w:tcW w:type="dxa" w:w="1958"/>
            <w:vAlign w:val="center"/>
          </w:tcPr>
          <w:p>
            <w:r>
              <w:rPr>
                <w:sz w:val="17"/>
              </w:rPr>
              <w:t>31.8</w:t>
            </w:r>
          </w:p>
        </w:tc>
      </w:tr>
      <w:tr>
        <w:tc>
          <w:tcPr>
            <w:tcW w:type="dxa" w:w="1958"/>
            <w:vAlign w:val="center"/>
          </w:tcPr>
          <w:p>
            <w:r>
              <w:rPr>
                <w:sz w:val="17"/>
              </w:rPr>
            </w:r>
          </w:p>
        </w:tc>
        <w:tc>
          <w:tcPr>
            <w:tcW w:type="dxa" w:w="1958"/>
            <w:vAlign w:val="center"/>
          </w:tcPr>
          <w:p>
            <w:r>
              <w:rPr>
                <w:sz w:val="17"/>
              </w:rPr>
              <w:t>每周2—3次</w:t>
            </w:r>
          </w:p>
        </w:tc>
        <w:tc>
          <w:tcPr>
            <w:tcW w:type="dxa" w:w="1958"/>
            <w:vAlign w:val="center"/>
          </w:tcPr>
          <w:p>
            <w:r>
              <w:rPr>
                <w:sz w:val="17"/>
              </w:rPr>
              <w:t>112</w:t>
            </w:r>
          </w:p>
        </w:tc>
        <w:tc>
          <w:tcPr>
            <w:tcW w:type="dxa" w:w="1958"/>
            <w:vAlign w:val="center"/>
          </w:tcPr>
          <w:p>
            <w:r>
              <w:rPr>
                <w:sz w:val="17"/>
              </w:rPr>
              <w:t>43.4</w:t>
            </w:r>
          </w:p>
        </w:tc>
        <w:tc>
          <w:tcPr>
            <w:tcW w:type="dxa" w:w="1958"/>
            <w:vAlign w:val="center"/>
          </w:tcPr>
          <w:p>
            <w:r>
              <w:rPr>
                <w:sz w:val="17"/>
              </w:rPr>
              <w:t>75.2</w:t>
            </w:r>
          </w:p>
        </w:tc>
      </w:tr>
      <w:tr>
        <w:tc>
          <w:tcPr>
            <w:tcW w:type="dxa" w:w="1958"/>
            <w:vAlign w:val="center"/>
          </w:tcPr>
          <w:p>
            <w:r>
              <w:rPr>
                <w:sz w:val="17"/>
              </w:rPr>
            </w:r>
          </w:p>
        </w:tc>
        <w:tc>
          <w:tcPr>
            <w:tcW w:type="dxa" w:w="1958"/>
            <w:vAlign w:val="center"/>
          </w:tcPr>
          <w:p>
            <w:r>
              <w:rPr>
                <w:sz w:val="17"/>
              </w:rPr>
              <w:t>每周4—5次</w:t>
            </w:r>
          </w:p>
        </w:tc>
        <w:tc>
          <w:tcPr>
            <w:tcW w:type="dxa" w:w="1958"/>
            <w:vAlign w:val="center"/>
          </w:tcPr>
          <w:p>
            <w:r>
              <w:rPr>
                <w:sz w:val="17"/>
              </w:rPr>
              <w:t>48</w:t>
            </w:r>
          </w:p>
        </w:tc>
        <w:tc>
          <w:tcPr>
            <w:tcW w:type="dxa" w:w="1958"/>
            <w:vAlign w:val="center"/>
          </w:tcPr>
          <w:p>
            <w:r>
              <w:rPr>
                <w:sz w:val="17"/>
              </w:rPr>
              <w:t>18.6</w:t>
            </w:r>
          </w:p>
        </w:tc>
        <w:tc>
          <w:tcPr>
            <w:tcW w:type="dxa" w:w="1958"/>
            <w:vAlign w:val="center"/>
          </w:tcPr>
          <w:p>
            <w:r>
              <w:rPr>
                <w:sz w:val="17"/>
              </w:rPr>
              <w:t>93.8</w:t>
            </w:r>
          </w:p>
        </w:tc>
      </w:tr>
      <w:tr>
        <w:tc>
          <w:tcPr>
            <w:tcW w:type="dxa" w:w="1958"/>
            <w:vAlign w:val="center"/>
          </w:tcPr>
          <w:p>
            <w:r>
              <w:rPr>
                <w:sz w:val="17"/>
              </w:rPr>
            </w:r>
          </w:p>
        </w:tc>
        <w:tc>
          <w:tcPr>
            <w:tcW w:type="dxa" w:w="1958"/>
            <w:vAlign w:val="center"/>
          </w:tcPr>
          <w:p>
            <w:r>
              <w:rPr>
                <w:sz w:val="17"/>
              </w:rPr>
              <w:t>每周6次及以上</w:t>
            </w:r>
          </w:p>
        </w:tc>
        <w:tc>
          <w:tcPr>
            <w:tcW w:type="dxa" w:w="1958"/>
            <w:vAlign w:val="center"/>
          </w:tcPr>
          <w:p>
            <w:r>
              <w:rPr>
                <w:sz w:val="17"/>
              </w:rPr>
              <w:t>16</w:t>
            </w:r>
          </w:p>
        </w:tc>
        <w:tc>
          <w:tcPr>
            <w:tcW w:type="dxa" w:w="1958"/>
            <w:vAlign w:val="center"/>
          </w:tcPr>
          <w:p>
            <w:r>
              <w:rPr>
                <w:sz w:val="17"/>
              </w:rPr>
              <w:t>6.2</w:t>
            </w:r>
          </w:p>
        </w:tc>
        <w:tc>
          <w:tcPr>
            <w:tcW w:type="dxa" w:w="1958"/>
            <w:vAlign w:val="center"/>
          </w:tcPr>
          <w:p>
            <w:r>
              <w:rPr>
                <w:sz w:val="17"/>
              </w:rPr>
              <w:t>100</w:t>
            </w:r>
          </w:p>
        </w:tc>
      </w:tr>
      <w:tr>
        <w:tc>
          <w:tcPr>
            <w:tcW w:type="dxa" w:w="1958"/>
            <w:vAlign w:val="center"/>
          </w:tcPr>
          <w:p>
            <w:r>
              <w:rPr>
                <w:sz w:val="17"/>
              </w:rPr>
              <w:t>偏好品牌</w:t>
            </w:r>
          </w:p>
        </w:tc>
        <w:tc>
          <w:tcPr>
            <w:tcW w:type="dxa" w:w="1958"/>
            <w:vAlign w:val="center"/>
          </w:tcPr>
          <w:p>
            <w:r>
              <w:rPr>
                <w:sz w:val="17"/>
              </w:rPr>
              <w:t>Ambo Mineral Water</w:t>
            </w:r>
          </w:p>
        </w:tc>
        <w:tc>
          <w:tcPr>
            <w:tcW w:type="dxa" w:w="1958"/>
            <w:vAlign w:val="center"/>
          </w:tcPr>
          <w:p>
            <w:r>
              <w:rPr>
                <w:sz w:val="17"/>
              </w:rPr>
              <w:t>61</w:t>
            </w:r>
          </w:p>
        </w:tc>
        <w:tc>
          <w:tcPr>
            <w:tcW w:type="dxa" w:w="1958"/>
            <w:vAlign w:val="center"/>
          </w:tcPr>
          <w:p>
            <w:r>
              <w:rPr>
                <w:sz w:val="17"/>
              </w:rPr>
              <w:t>23.6</w:t>
            </w:r>
          </w:p>
        </w:tc>
        <w:tc>
          <w:tcPr>
            <w:tcW w:type="dxa" w:w="1958"/>
            <w:vAlign w:val="center"/>
          </w:tcPr>
          <w:p>
            <w:r>
              <w:rPr>
                <w:sz w:val="17"/>
              </w:rPr>
              <w:t>23.6</w:t>
            </w:r>
          </w:p>
        </w:tc>
      </w:tr>
      <w:tr>
        <w:tc>
          <w:tcPr>
            <w:tcW w:type="dxa" w:w="1958"/>
            <w:vAlign w:val="center"/>
          </w:tcPr>
          <w:p>
            <w:r>
              <w:rPr>
                <w:sz w:val="17"/>
              </w:rPr>
            </w:r>
          </w:p>
        </w:tc>
        <w:tc>
          <w:tcPr>
            <w:tcW w:type="dxa" w:w="1958"/>
            <w:vAlign w:val="center"/>
          </w:tcPr>
          <w:p>
            <w:r>
              <w:rPr>
                <w:sz w:val="17"/>
              </w:rPr>
              <w:t>Yes</w:t>
            </w:r>
          </w:p>
        </w:tc>
        <w:tc>
          <w:tcPr>
            <w:tcW w:type="dxa" w:w="1958"/>
            <w:vAlign w:val="center"/>
          </w:tcPr>
          <w:p>
            <w:r>
              <w:rPr>
                <w:sz w:val="17"/>
              </w:rPr>
              <w:t>67</w:t>
            </w:r>
          </w:p>
        </w:tc>
        <w:tc>
          <w:tcPr>
            <w:tcW w:type="dxa" w:w="1958"/>
            <w:vAlign w:val="center"/>
          </w:tcPr>
          <w:p>
            <w:r>
              <w:rPr>
                <w:sz w:val="17"/>
              </w:rPr>
              <w:t>26.0</w:t>
            </w:r>
          </w:p>
        </w:tc>
        <w:tc>
          <w:tcPr>
            <w:tcW w:type="dxa" w:w="1958"/>
            <w:vAlign w:val="center"/>
          </w:tcPr>
          <w:p>
            <w:r>
              <w:rPr>
                <w:sz w:val="17"/>
              </w:rPr>
              <w:t>49.6</w:t>
            </w:r>
          </w:p>
        </w:tc>
      </w:tr>
      <w:tr>
        <w:tc>
          <w:tcPr>
            <w:tcW w:type="dxa" w:w="1958"/>
            <w:vAlign w:val="center"/>
          </w:tcPr>
          <w:p>
            <w:r>
              <w:rPr>
                <w:sz w:val="17"/>
              </w:rPr>
            </w:r>
          </w:p>
        </w:tc>
        <w:tc>
          <w:tcPr>
            <w:tcW w:type="dxa" w:w="1958"/>
            <w:vAlign w:val="center"/>
          </w:tcPr>
          <w:p>
            <w:r>
              <w:rPr>
                <w:sz w:val="17"/>
              </w:rPr>
              <w:t>Aqua Addis</w:t>
            </w:r>
          </w:p>
        </w:tc>
        <w:tc>
          <w:tcPr>
            <w:tcW w:type="dxa" w:w="1958"/>
            <w:vAlign w:val="center"/>
          </w:tcPr>
          <w:p>
            <w:r>
              <w:rPr>
                <w:sz w:val="17"/>
              </w:rPr>
              <w:t>71</w:t>
            </w:r>
          </w:p>
        </w:tc>
        <w:tc>
          <w:tcPr>
            <w:tcW w:type="dxa" w:w="1958"/>
            <w:vAlign w:val="center"/>
          </w:tcPr>
          <w:p>
            <w:r>
              <w:rPr>
                <w:sz w:val="17"/>
              </w:rPr>
              <w:t>27.5</w:t>
            </w:r>
          </w:p>
        </w:tc>
        <w:tc>
          <w:tcPr>
            <w:tcW w:type="dxa" w:w="1958"/>
            <w:vAlign w:val="center"/>
          </w:tcPr>
          <w:p>
            <w:r>
              <w:rPr>
                <w:sz w:val="17"/>
              </w:rPr>
              <w:t>77.1</w:t>
            </w:r>
          </w:p>
        </w:tc>
      </w:tr>
      <w:tr>
        <w:tc>
          <w:tcPr>
            <w:tcW w:type="dxa" w:w="1958"/>
            <w:vAlign w:val="center"/>
          </w:tcPr>
          <w:p>
            <w:r>
              <w:rPr>
                <w:sz w:val="17"/>
              </w:rPr>
            </w:r>
          </w:p>
        </w:tc>
        <w:tc>
          <w:tcPr>
            <w:tcW w:type="dxa" w:w="1958"/>
            <w:vAlign w:val="center"/>
          </w:tcPr>
          <w:p>
            <w:r>
              <w:rPr>
                <w:sz w:val="17"/>
              </w:rPr>
              <w:t>Aqua Safe</w:t>
            </w:r>
          </w:p>
        </w:tc>
        <w:tc>
          <w:tcPr>
            <w:tcW w:type="dxa" w:w="1958"/>
            <w:vAlign w:val="center"/>
          </w:tcPr>
          <w:p>
            <w:r>
              <w:rPr>
                <w:sz w:val="17"/>
              </w:rPr>
              <w:t>59</w:t>
            </w:r>
          </w:p>
        </w:tc>
        <w:tc>
          <w:tcPr>
            <w:tcW w:type="dxa" w:w="1958"/>
            <w:vAlign w:val="center"/>
          </w:tcPr>
          <w:p>
            <w:r>
              <w:rPr>
                <w:sz w:val="17"/>
              </w:rPr>
              <w:t>22.9</w:t>
            </w:r>
          </w:p>
        </w:tc>
        <w:tc>
          <w:tcPr>
            <w:tcW w:type="dxa" w:w="1958"/>
            <w:vAlign w:val="center"/>
          </w:tcPr>
          <w:p>
            <w:r>
              <w:rPr>
                <w:sz w:val="17"/>
              </w:rPr>
              <w:t>100</w:t>
            </w:r>
          </w:p>
        </w:tc>
      </w:tr>
      <w:tr>
        <w:tc>
          <w:tcPr>
            <w:tcW w:type="dxa" w:w="1958"/>
            <w:vAlign w:val="center"/>
          </w:tcPr>
          <w:p>
            <w:r>
              <w:rPr>
                <w:sz w:val="17"/>
              </w:rPr>
              <w:t>空瓶处置</w:t>
            </w:r>
          </w:p>
        </w:tc>
        <w:tc>
          <w:tcPr>
            <w:tcW w:type="dxa" w:w="1958"/>
            <w:vAlign w:val="center"/>
          </w:tcPr>
          <w:p>
            <w:r>
              <w:rPr>
                <w:sz w:val="17"/>
              </w:rPr>
              <w:t>投入垃圾桶</w:t>
            </w:r>
          </w:p>
        </w:tc>
        <w:tc>
          <w:tcPr>
            <w:tcW w:type="dxa" w:w="1958"/>
            <w:vAlign w:val="center"/>
          </w:tcPr>
          <w:p>
            <w:r>
              <w:rPr>
                <w:sz w:val="17"/>
              </w:rPr>
              <w:t>77</w:t>
            </w:r>
          </w:p>
        </w:tc>
        <w:tc>
          <w:tcPr>
            <w:tcW w:type="dxa" w:w="1958"/>
            <w:vAlign w:val="center"/>
          </w:tcPr>
          <w:p>
            <w:r>
              <w:rPr>
                <w:sz w:val="17"/>
              </w:rPr>
              <w:t>29.8</w:t>
            </w:r>
          </w:p>
        </w:tc>
        <w:tc>
          <w:tcPr>
            <w:tcW w:type="dxa" w:w="1958"/>
            <w:vAlign w:val="center"/>
          </w:tcPr>
          <w:p>
            <w:r>
              <w:rPr>
                <w:sz w:val="17"/>
              </w:rPr>
              <w:t>29.8</w:t>
            </w:r>
          </w:p>
        </w:tc>
      </w:tr>
      <w:tr>
        <w:tc>
          <w:tcPr>
            <w:tcW w:type="dxa" w:w="1958"/>
            <w:vAlign w:val="center"/>
          </w:tcPr>
          <w:p>
            <w:r>
              <w:rPr>
                <w:sz w:val="17"/>
              </w:rPr>
            </w:r>
          </w:p>
        </w:tc>
        <w:tc>
          <w:tcPr>
            <w:tcW w:type="dxa" w:w="1958"/>
            <w:vAlign w:val="center"/>
          </w:tcPr>
          <w:p>
            <w:r>
              <w:rPr>
                <w:sz w:val="17"/>
              </w:rPr>
              <w:t>再利用</w:t>
            </w:r>
          </w:p>
        </w:tc>
        <w:tc>
          <w:tcPr>
            <w:tcW w:type="dxa" w:w="1958"/>
            <w:vAlign w:val="center"/>
          </w:tcPr>
          <w:p>
            <w:r>
              <w:rPr>
                <w:sz w:val="17"/>
              </w:rPr>
              <w:t>29</w:t>
            </w:r>
          </w:p>
        </w:tc>
        <w:tc>
          <w:tcPr>
            <w:tcW w:type="dxa" w:w="1958"/>
            <w:vAlign w:val="center"/>
          </w:tcPr>
          <w:p>
            <w:r>
              <w:rPr>
                <w:sz w:val="17"/>
              </w:rPr>
              <w:t>11.2</w:t>
            </w:r>
          </w:p>
        </w:tc>
        <w:tc>
          <w:tcPr>
            <w:tcW w:type="dxa" w:w="1958"/>
            <w:vAlign w:val="center"/>
          </w:tcPr>
          <w:p>
            <w:r>
              <w:rPr>
                <w:sz w:val="17"/>
              </w:rPr>
              <w:t>41.1</w:t>
            </w:r>
          </w:p>
        </w:tc>
      </w:tr>
      <w:tr>
        <w:tc>
          <w:tcPr>
            <w:tcW w:type="dxa" w:w="1958"/>
            <w:vAlign w:val="center"/>
          </w:tcPr>
          <w:p>
            <w:r>
              <w:rPr>
                <w:sz w:val="17"/>
              </w:rPr>
            </w:r>
          </w:p>
        </w:tc>
        <w:tc>
          <w:tcPr>
            <w:tcW w:type="dxa" w:w="1958"/>
            <w:vAlign w:val="center"/>
          </w:tcPr>
          <w:p>
            <w:r>
              <w:rPr>
                <w:sz w:val="17"/>
              </w:rPr>
              <w:t>随处丢弃</w:t>
            </w:r>
          </w:p>
        </w:tc>
        <w:tc>
          <w:tcPr>
            <w:tcW w:type="dxa" w:w="1958"/>
            <w:vAlign w:val="center"/>
          </w:tcPr>
          <w:p>
            <w:r>
              <w:rPr>
                <w:sz w:val="17"/>
              </w:rPr>
              <w:t>152</w:t>
            </w:r>
          </w:p>
        </w:tc>
        <w:tc>
          <w:tcPr>
            <w:tcW w:type="dxa" w:w="1958"/>
            <w:vAlign w:val="center"/>
          </w:tcPr>
          <w:p>
            <w:r>
              <w:rPr>
                <w:sz w:val="17"/>
              </w:rPr>
              <w:t>58.9</w:t>
            </w:r>
          </w:p>
        </w:tc>
        <w:tc>
          <w:tcPr>
            <w:tcW w:type="dxa" w:w="1958"/>
            <w:vAlign w:val="center"/>
          </w:tcPr>
          <w:p>
            <w:r>
              <w:rPr>
                <w:sz w:val="17"/>
              </w:rPr>
              <w:t>100</w:t>
            </w:r>
          </w:p>
        </w:tc>
      </w:tr>
    </w:tbl>
    <w:p>
      <w:pPr>
        <w:spacing w:after="40"/>
      </w:pPr>
    </w:p>
    <w:p>
      <w:pPr>
        <w:spacing w:line="269" w:lineRule="auto" w:after="100"/>
      </w:pPr>
      <w:r>
        <w:t>来源：2022年调查结果。</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8"/>
              </w:rPr>
              <w:t>购买瓶装水时，哪些变化会鼓励您购买（可多选）</w:t>
            </w:r>
          </w:p>
        </w:tc>
        <w:tc>
          <w:tcPr>
            <w:tcW w:type="dxa" w:w="2448"/>
            <w:shd w:fill="D9EAF7"/>
            <w:vAlign w:val="center"/>
          </w:tcPr>
          <w:p>
            <w:r>
              <w:rPr>
                <w:b/>
                <w:sz w:val="18"/>
              </w:rPr>
              <w:t>频数</w:t>
            </w:r>
          </w:p>
        </w:tc>
        <w:tc>
          <w:tcPr>
            <w:tcW w:type="dxa" w:w="2448"/>
            <w:shd w:fill="D9EAF7"/>
            <w:vAlign w:val="center"/>
          </w:tcPr>
          <w:p>
            <w:r>
              <w:rPr>
                <w:b/>
                <w:sz w:val="18"/>
              </w:rPr>
              <w:t>百分比</w:t>
            </w:r>
          </w:p>
        </w:tc>
        <w:tc>
          <w:tcPr>
            <w:tcW w:type="dxa" w:w="2448"/>
            <w:shd w:fill="D9EAF7"/>
            <w:vAlign w:val="center"/>
          </w:tcPr>
          <w:p>
            <w:r>
              <w:rPr>
                <w:b/>
                <w:sz w:val="18"/>
              </w:rPr>
              <w:t>累计百分比</w:t>
            </w:r>
          </w:p>
        </w:tc>
      </w:tr>
      <w:tr>
        <w:tc>
          <w:tcPr>
            <w:tcW w:type="dxa" w:w="2448"/>
            <w:vAlign w:val="center"/>
          </w:tcPr>
          <w:p>
            <w:r>
              <w:rPr>
                <w:sz w:val="17"/>
              </w:rPr>
              <w:t>降价并采用更有吸引力的包装</w:t>
            </w:r>
          </w:p>
        </w:tc>
        <w:tc>
          <w:tcPr>
            <w:tcW w:type="dxa" w:w="2448"/>
            <w:vAlign w:val="center"/>
          </w:tcPr>
          <w:p>
            <w:r>
              <w:rPr>
                <w:sz w:val="17"/>
              </w:rPr>
              <w:t>53</w:t>
            </w:r>
          </w:p>
        </w:tc>
        <w:tc>
          <w:tcPr>
            <w:tcW w:type="dxa" w:w="2448"/>
            <w:vAlign w:val="center"/>
          </w:tcPr>
          <w:p>
            <w:r>
              <w:rPr>
                <w:sz w:val="17"/>
              </w:rPr>
              <w:t>20.5</w:t>
            </w:r>
          </w:p>
        </w:tc>
        <w:tc>
          <w:tcPr>
            <w:tcW w:type="dxa" w:w="2448"/>
            <w:vAlign w:val="center"/>
          </w:tcPr>
          <w:p>
            <w:r>
              <w:rPr>
                <w:sz w:val="17"/>
              </w:rPr>
              <w:t>20.5</w:t>
            </w:r>
          </w:p>
        </w:tc>
      </w:tr>
      <w:tr>
        <w:tc>
          <w:tcPr>
            <w:tcW w:type="dxa" w:w="2448"/>
            <w:vAlign w:val="center"/>
          </w:tcPr>
          <w:p>
            <w:r>
              <w:rPr>
                <w:sz w:val="17"/>
              </w:rPr>
              <w:t>降价并采用更环保的包装</w:t>
            </w:r>
          </w:p>
        </w:tc>
        <w:tc>
          <w:tcPr>
            <w:tcW w:type="dxa" w:w="2448"/>
            <w:vAlign w:val="center"/>
          </w:tcPr>
          <w:p>
            <w:r>
              <w:rPr>
                <w:sz w:val="17"/>
              </w:rPr>
              <w:t>57</w:t>
            </w:r>
          </w:p>
        </w:tc>
        <w:tc>
          <w:tcPr>
            <w:tcW w:type="dxa" w:w="2448"/>
            <w:vAlign w:val="center"/>
          </w:tcPr>
          <w:p>
            <w:r>
              <w:rPr>
                <w:sz w:val="17"/>
              </w:rPr>
              <w:t>22.1</w:t>
            </w:r>
          </w:p>
        </w:tc>
        <w:tc>
          <w:tcPr>
            <w:tcW w:type="dxa" w:w="2448"/>
            <w:vAlign w:val="center"/>
          </w:tcPr>
          <w:p>
            <w:r>
              <w:rPr>
                <w:sz w:val="17"/>
              </w:rPr>
              <w:t>42.6</w:t>
            </w:r>
          </w:p>
        </w:tc>
      </w:tr>
      <w:tr>
        <w:tc>
          <w:tcPr>
            <w:tcW w:type="dxa" w:w="2448"/>
            <w:vAlign w:val="center"/>
          </w:tcPr>
          <w:p>
            <w:r>
              <w:rPr>
                <w:sz w:val="17"/>
              </w:rPr>
              <w:t>降价并提高质量</w:t>
            </w:r>
          </w:p>
        </w:tc>
        <w:tc>
          <w:tcPr>
            <w:tcW w:type="dxa" w:w="2448"/>
            <w:vAlign w:val="center"/>
          </w:tcPr>
          <w:p>
            <w:r>
              <w:rPr>
                <w:sz w:val="17"/>
              </w:rPr>
              <w:t>63</w:t>
            </w:r>
          </w:p>
        </w:tc>
        <w:tc>
          <w:tcPr>
            <w:tcW w:type="dxa" w:w="2448"/>
            <w:vAlign w:val="center"/>
          </w:tcPr>
          <w:p>
            <w:r>
              <w:rPr>
                <w:sz w:val="17"/>
              </w:rPr>
              <w:t>24.4</w:t>
            </w:r>
          </w:p>
        </w:tc>
        <w:tc>
          <w:tcPr>
            <w:tcW w:type="dxa" w:w="2448"/>
            <w:vAlign w:val="center"/>
          </w:tcPr>
          <w:p>
            <w:r>
              <w:rPr>
                <w:sz w:val="17"/>
              </w:rPr>
              <w:t>67.1</w:t>
            </w:r>
          </w:p>
        </w:tc>
      </w:tr>
      <w:tr>
        <w:tc>
          <w:tcPr>
            <w:tcW w:type="dxa" w:w="2448"/>
            <w:vAlign w:val="center"/>
          </w:tcPr>
          <w:p>
            <w:r>
              <w:rPr>
                <w:sz w:val="17"/>
              </w:rPr>
              <w:t>降价、提高质量、采用更有吸引力且更环保的包装</w:t>
            </w:r>
          </w:p>
        </w:tc>
        <w:tc>
          <w:tcPr>
            <w:tcW w:type="dxa" w:w="2448"/>
            <w:vAlign w:val="center"/>
          </w:tcPr>
          <w:p>
            <w:r>
              <w:rPr>
                <w:sz w:val="17"/>
              </w:rPr>
              <w:t>85</w:t>
            </w:r>
          </w:p>
        </w:tc>
        <w:tc>
          <w:tcPr>
            <w:tcW w:type="dxa" w:w="2448"/>
            <w:vAlign w:val="center"/>
          </w:tcPr>
          <w:p>
            <w:r>
              <w:rPr>
                <w:sz w:val="17"/>
              </w:rPr>
              <w:t>32.9</w:t>
            </w:r>
          </w:p>
        </w:tc>
        <w:tc>
          <w:tcPr>
            <w:tcW w:type="dxa" w:w="2448"/>
            <w:vAlign w:val="center"/>
          </w:tcPr>
          <w:p>
            <w:r>
              <w:rPr>
                <w:sz w:val="17"/>
              </w:rPr>
              <w:t>100</w:t>
            </w:r>
          </w:p>
        </w:tc>
      </w:tr>
    </w:tbl>
    <w:p>
      <w:pPr>
        <w:spacing w:after="40"/>
      </w:pPr>
    </w:p>
    <w:p>
      <w:pPr>
        <w:spacing w:line="269" w:lineRule="auto" w:after="100"/>
      </w:pPr>
      <w:r>
        <w:t>来源：2022年调查结果。</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8"/>
              </w:rPr>
              <w:t>瓶装水相关陈述</w:t>
            </w:r>
          </w:p>
        </w:tc>
        <w:tc>
          <w:tcPr>
            <w:tcW w:type="dxa" w:w="2448"/>
            <w:shd w:fill="D9EAF7"/>
            <w:vAlign w:val="center"/>
          </w:tcPr>
          <w:p>
            <w:r>
              <w:rPr>
                <w:b/>
                <w:sz w:val="18"/>
              </w:rPr>
              <w:t>N</w:t>
            </w:r>
          </w:p>
        </w:tc>
        <w:tc>
          <w:tcPr>
            <w:tcW w:type="dxa" w:w="2448"/>
            <w:shd w:fill="D9EAF7"/>
            <w:vAlign w:val="center"/>
          </w:tcPr>
          <w:p>
            <w:r>
              <w:rPr>
                <w:b/>
                <w:sz w:val="18"/>
              </w:rPr>
              <w:t>均值</w:t>
            </w:r>
          </w:p>
        </w:tc>
        <w:tc>
          <w:tcPr>
            <w:tcW w:type="dxa" w:w="2448"/>
            <w:shd w:fill="D9EAF7"/>
            <w:vAlign w:val="center"/>
          </w:tcPr>
          <w:p>
            <w:r>
              <w:rPr>
                <w:b/>
                <w:sz w:val="18"/>
              </w:rPr>
              <w:t>标准差</w:t>
            </w:r>
          </w:p>
        </w:tc>
      </w:tr>
      <w:tr>
        <w:tc>
          <w:tcPr>
            <w:tcW w:type="dxa" w:w="2448"/>
            <w:vAlign w:val="center"/>
          </w:tcPr>
          <w:p>
            <w:r>
              <w:rPr>
                <w:sz w:val="17"/>
              </w:rPr>
              <w:t>瓶装水造成严重环境问题，空瓶成为废弃物</w:t>
            </w:r>
          </w:p>
        </w:tc>
        <w:tc>
          <w:tcPr>
            <w:tcW w:type="dxa" w:w="2448"/>
            <w:vAlign w:val="center"/>
          </w:tcPr>
          <w:p>
            <w:r>
              <w:rPr>
                <w:sz w:val="17"/>
              </w:rPr>
              <w:t>258</w:t>
            </w:r>
          </w:p>
        </w:tc>
        <w:tc>
          <w:tcPr>
            <w:tcW w:type="dxa" w:w="2448"/>
            <w:vAlign w:val="center"/>
          </w:tcPr>
          <w:p>
            <w:r>
              <w:rPr>
                <w:sz w:val="17"/>
              </w:rPr>
              <w:t>4.0814</w:t>
            </w:r>
          </w:p>
        </w:tc>
        <w:tc>
          <w:tcPr>
            <w:tcW w:type="dxa" w:w="2448"/>
            <w:vAlign w:val="center"/>
          </w:tcPr>
          <w:p>
            <w:r>
              <w:rPr>
                <w:sz w:val="17"/>
              </w:rPr>
              <w:t>1.15575</w:t>
            </w:r>
          </w:p>
        </w:tc>
      </w:tr>
      <w:tr>
        <w:tc>
          <w:tcPr>
            <w:tcW w:type="dxa" w:w="2448"/>
            <w:vAlign w:val="center"/>
          </w:tcPr>
          <w:p>
            <w:r>
              <w:rPr>
                <w:sz w:val="17"/>
              </w:rPr>
              <w:t>瓶装水质量未必比自来水好</w:t>
            </w:r>
          </w:p>
        </w:tc>
        <w:tc>
          <w:tcPr>
            <w:tcW w:type="dxa" w:w="2448"/>
            <w:vAlign w:val="center"/>
          </w:tcPr>
          <w:p>
            <w:r>
              <w:rPr>
                <w:sz w:val="17"/>
              </w:rPr>
              <w:t>258</w:t>
            </w:r>
          </w:p>
        </w:tc>
        <w:tc>
          <w:tcPr>
            <w:tcW w:type="dxa" w:w="2448"/>
            <w:vAlign w:val="center"/>
          </w:tcPr>
          <w:p>
            <w:r>
              <w:rPr>
                <w:sz w:val="17"/>
              </w:rPr>
              <w:t>2.2016</w:t>
            </w:r>
          </w:p>
        </w:tc>
        <w:tc>
          <w:tcPr>
            <w:tcW w:type="dxa" w:w="2448"/>
            <w:vAlign w:val="center"/>
          </w:tcPr>
          <w:p>
            <w:r>
              <w:rPr>
                <w:sz w:val="17"/>
              </w:rPr>
              <w:t>1.39136</w:t>
            </w:r>
          </w:p>
        </w:tc>
      </w:tr>
      <w:tr>
        <w:tc>
          <w:tcPr>
            <w:tcW w:type="dxa" w:w="2448"/>
            <w:vAlign w:val="center"/>
          </w:tcPr>
          <w:p>
            <w:r>
              <w:rPr>
                <w:sz w:val="17"/>
              </w:rPr>
              <w:t>埃塞俄比亚自来水足够安全，可以直接饮用</w:t>
            </w:r>
          </w:p>
        </w:tc>
        <w:tc>
          <w:tcPr>
            <w:tcW w:type="dxa" w:w="2448"/>
            <w:vAlign w:val="center"/>
          </w:tcPr>
          <w:p>
            <w:r>
              <w:rPr>
                <w:sz w:val="17"/>
              </w:rPr>
              <w:t>258</w:t>
            </w:r>
          </w:p>
        </w:tc>
        <w:tc>
          <w:tcPr>
            <w:tcW w:type="dxa" w:w="2448"/>
            <w:vAlign w:val="center"/>
          </w:tcPr>
          <w:p>
            <w:r>
              <w:rPr>
                <w:sz w:val="17"/>
              </w:rPr>
              <w:t>2.2054</w:t>
            </w:r>
          </w:p>
        </w:tc>
        <w:tc>
          <w:tcPr>
            <w:tcW w:type="dxa" w:w="2448"/>
            <w:vAlign w:val="center"/>
          </w:tcPr>
          <w:p>
            <w:r>
              <w:rPr>
                <w:sz w:val="17"/>
              </w:rPr>
              <w:t>1.19681</w:t>
            </w:r>
          </w:p>
        </w:tc>
      </w:tr>
      <w:tr>
        <w:tc>
          <w:tcPr>
            <w:tcW w:type="dxa" w:w="2448"/>
            <w:vAlign w:val="center"/>
          </w:tcPr>
          <w:p>
            <w:r>
              <w:rPr>
                <w:sz w:val="17"/>
              </w:rPr>
              <w:t>瓶装水正在商业化</w:t>
            </w:r>
          </w:p>
        </w:tc>
        <w:tc>
          <w:tcPr>
            <w:tcW w:type="dxa" w:w="2448"/>
            <w:vAlign w:val="center"/>
          </w:tcPr>
          <w:p>
            <w:r>
              <w:rPr>
                <w:sz w:val="17"/>
              </w:rPr>
              <w:t>258</w:t>
            </w:r>
          </w:p>
        </w:tc>
        <w:tc>
          <w:tcPr>
            <w:tcW w:type="dxa" w:w="2448"/>
            <w:vAlign w:val="center"/>
          </w:tcPr>
          <w:p>
            <w:r>
              <w:rPr>
                <w:sz w:val="17"/>
              </w:rPr>
              <w:t>3.2597</w:t>
            </w:r>
          </w:p>
        </w:tc>
        <w:tc>
          <w:tcPr>
            <w:tcW w:type="dxa" w:w="2448"/>
            <w:vAlign w:val="center"/>
          </w:tcPr>
          <w:p>
            <w:r>
              <w:rPr>
                <w:sz w:val="17"/>
              </w:rPr>
              <w:t>1.28989</w:t>
            </w:r>
          </w:p>
        </w:tc>
      </w:tr>
      <w:tr>
        <w:tc>
          <w:tcPr>
            <w:tcW w:type="dxa" w:w="2448"/>
            <w:vAlign w:val="center"/>
          </w:tcPr>
          <w:p>
            <w:r>
              <w:rPr>
                <w:sz w:val="17"/>
              </w:rPr>
              <w:t>瓶装水越来越受欢迎</w:t>
            </w:r>
          </w:p>
        </w:tc>
        <w:tc>
          <w:tcPr>
            <w:tcW w:type="dxa" w:w="2448"/>
            <w:vAlign w:val="center"/>
          </w:tcPr>
          <w:p>
            <w:r>
              <w:rPr>
                <w:sz w:val="17"/>
              </w:rPr>
              <w:t>258</w:t>
            </w:r>
          </w:p>
        </w:tc>
        <w:tc>
          <w:tcPr>
            <w:tcW w:type="dxa" w:w="2448"/>
            <w:vAlign w:val="center"/>
          </w:tcPr>
          <w:p>
            <w:r>
              <w:rPr>
                <w:sz w:val="17"/>
              </w:rPr>
              <w:t>3.1124</w:t>
            </w:r>
          </w:p>
        </w:tc>
        <w:tc>
          <w:tcPr>
            <w:tcW w:type="dxa" w:w="2448"/>
            <w:vAlign w:val="center"/>
          </w:tcPr>
          <w:p>
            <w:r>
              <w:rPr>
                <w:sz w:val="17"/>
              </w:rPr>
              <w:t>1.60221</w:t>
            </w:r>
          </w:p>
        </w:tc>
      </w:tr>
      <w:tr>
        <w:tc>
          <w:tcPr>
            <w:tcW w:type="dxa" w:w="2448"/>
            <w:vAlign w:val="center"/>
          </w:tcPr>
          <w:p>
            <w:r>
              <w:rPr>
                <w:sz w:val="17"/>
              </w:rPr>
              <w:t>自行准备水瓶不方便</w:t>
            </w:r>
          </w:p>
        </w:tc>
        <w:tc>
          <w:tcPr>
            <w:tcW w:type="dxa" w:w="2448"/>
            <w:vAlign w:val="center"/>
          </w:tcPr>
          <w:p>
            <w:r>
              <w:rPr>
                <w:sz w:val="17"/>
              </w:rPr>
              <w:t>258</w:t>
            </w:r>
          </w:p>
        </w:tc>
        <w:tc>
          <w:tcPr>
            <w:tcW w:type="dxa" w:w="2448"/>
            <w:vAlign w:val="center"/>
          </w:tcPr>
          <w:p>
            <w:r>
              <w:rPr>
                <w:sz w:val="17"/>
              </w:rPr>
              <w:t>4.1899</w:t>
            </w:r>
          </w:p>
        </w:tc>
        <w:tc>
          <w:tcPr>
            <w:tcW w:type="dxa" w:w="2448"/>
            <w:vAlign w:val="center"/>
          </w:tcPr>
          <w:p>
            <w:r>
              <w:rPr>
                <w:sz w:val="17"/>
              </w:rPr>
              <w:t>1.02059</w:t>
            </w:r>
          </w:p>
        </w:tc>
      </w:tr>
      <w:tr>
        <w:tc>
          <w:tcPr>
            <w:tcW w:type="dxa" w:w="2448"/>
            <w:vAlign w:val="center"/>
          </w:tcPr>
          <w:p>
            <w:r>
              <w:rPr>
                <w:sz w:val="17"/>
              </w:rPr>
              <w:t>购买瓶装水时，我不会考虑其环境影响</w:t>
            </w:r>
          </w:p>
        </w:tc>
        <w:tc>
          <w:tcPr>
            <w:tcW w:type="dxa" w:w="2448"/>
            <w:vAlign w:val="center"/>
          </w:tcPr>
          <w:p>
            <w:r>
              <w:rPr>
                <w:sz w:val="17"/>
              </w:rPr>
              <w:t>258</w:t>
            </w:r>
          </w:p>
        </w:tc>
        <w:tc>
          <w:tcPr>
            <w:tcW w:type="dxa" w:w="2448"/>
            <w:vAlign w:val="center"/>
          </w:tcPr>
          <w:p>
            <w:r>
              <w:rPr>
                <w:sz w:val="17"/>
              </w:rPr>
              <w:t>3.1550</w:t>
            </w:r>
          </w:p>
        </w:tc>
        <w:tc>
          <w:tcPr>
            <w:tcW w:type="dxa" w:w="2448"/>
            <w:vAlign w:val="center"/>
          </w:tcPr>
          <w:p>
            <w:r>
              <w:rPr>
                <w:sz w:val="17"/>
              </w:rPr>
              <w:t>1.31113</w:t>
            </w:r>
          </w:p>
        </w:tc>
      </w:tr>
    </w:tbl>
    <w:p>
      <w:pPr>
        <w:spacing w:after="40"/>
      </w:pPr>
    </w:p>
    <w:p>
      <w:pPr>
        <w:spacing w:line="269" w:lineRule="auto" w:after="100"/>
      </w:pPr>
      <w:r>
        <w:t>来源：2022年调查结果。</w:t>
      </w:r>
    </w:p>
    <w:p>
      <w:pPr>
        <w:pStyle w:val="Heading2"/>
        <w:spacing w:before="180" w:after="80"/>
      </w:pPr>
      <w:r>
        <w:t>3.4 逆向物流活动</w:t>
      </w:r>
    </w:p>
    <w:p>
      <w:pPr>
        <w:spacing w:line="269" w:lineRule="auto" w:after="100"/>
      </w:pPr>
      <w:r>
        <w:t>标准物流活动包括：从最终用户或经销商处收集磨损、损坏、不需要的（库存平衡退货）或过时的产品线，以及包装和配送设备。当产品返回组织后，需要考虑多种处置选择。Pihie等人[54]认为，均值低于3.39为低，3.40—3.79为中等，高于3.8为高。除焚烧外，表6各项均低于这一界限，说明企业主要进行焚烧，对其他废弃物管理流程关注较少。</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8"/>
              </w:rPr>
              <w:t>逆向物流活动</w:t>
            </w:r>
          </w:p>
        </w:tc>
        <w:tc>
          <w:tcPr>
            <w:tcW w:type="dxa" w:w="2448"/>
            <w:shd w:fill="D9EAF7"/>
            <w:vAlign w:val="center"/>
          </w:tcPr>
          <w:p>
            <w:r>
              <w:rPr>
                <w:b/>
                <w:sz w:val="18"/>
              </w:rPr>
              <w:t>N</w:t>
            </w:r>
          </w:p>
        </w:tc>
        <w:tc>
          <w:tcPr>
            <w:tcW w:type="dxa" w:w="2448"/>
            <w:shd w:fill="D9EAF7"/>
            <w:vAlign w:val="center"/>
          </w:tcPr>
          <w:p>
            <w:r>
              <w:rPr>
                <w:b/>
                <w:sz w:val="18"/>
              </w:rPr>
              <w:t>均值</w:t>
            </w:r>
          </w:p>
        </w:tc>
        <w:tc>
          <w:tcPr>
            <w:tcW w:type="dxa" w:w="2448"/>
            <w:shd w:fill="D9EAF7"/>
            <w:vAlign w:val="center"/>
          </w:tcPr>
          <w:p>
            <w:r>
              <w:rPr>
                <w:b/>
                <w:sz w:val="18"/>
              </w:rPr>
              <w:t>标准差</w:t>
            </w:r>
          </w:p>
        </w:tc>
      </w:tr>
      <w:tr>
        <w:tc>
          <w:tcPr>
            <w:tcW w:type="dxa" w:w="2448"/>
            <w:vAlign w:val="center"/>
          </w:tcPr>
          <w:p>
            <w:r>
              <w:rPr>
                <w:sz w:val="17"/>
              </w:rPr>
              <w:t>再制造：建立再制造车间</w:t>
            </w:r>
          </w:p>
        </w:tc>
        <w:tc>
          <w:tcPr>
            <w:tcW w:type="dxa" w:w="2448"/>
            <w:vAlign w:val="center"/>
          </w:tcPr>
          <w:p>
            <w:r>
              <w:rPr>
                <w:sz w:val="17"/>
              </w:rPr>
              <w:t>258</w:t>
            </w:r>
          </w:p>
        </w:tc>
        <w:tc>
          <w:tcPr>
            <w:tcW w:type="dxa" w:w="2448"/>
            <w:vAlign w:val="center"/>
          </w:tcPr>
          <w:p>
            <w:r>
              <w:rPr>
                <w:sz w:val="17"/>
              </w:rPr>
              <w:t>2.1822</w:t>
            </w:r>
          </w:p>
        </w:tc>
        <w:tc>
          <w:tcPr>
            <w:tcW w:type="dxa" w:w="2448"/>
            <w:vAlign w:val="center"/>
          </w:tcPr>
          <w:p>
            <w:r>
              <w:rPr>
                <w:sz w:val="17"/>
              </w:rPr>
              <w:t>0.91345</w:t>
            </w:r>
          </w:p>
        </w:tc>
      </w:tr>
      <w:tr>
        <w:tc>
          <w:tcPr>
            <w:tcW w:type="dxa" w:w="2448"/>
            <w:vAlign w:val="center"/>
          </w:tcPr>
          <w:p>
            <w:r>
              <w:rPr>
                <w:sz w:val="17"/>
              </w:rPr>
              <w:t>再制造：建立废旧塑料瓶仓库</w:t>
            </w:r>
          </w:p>
        </w:tc>
        <w:tc>
          <w:tcPr>
            <w:tcW w:type="dxa" w:w="2448"/>
            <w:vAlign w:val="center"/>
          </w:tcPr>
          <w:p>
            <w:r>
              <w:rPr>
                <w:sz w:val="17"/>
              </w:rPr>
              <w:t>258</w:t>
            </w:r>
          </w:p>
        </w:tc>
        <w:tc>
          <w:tcPr>
            <w:tcW w:type="dxa" w:w="2448"/>
            <w:vAlign w:val="center"/>
          </w:tcPr>
          <w:p>
            <w:r>
              <w:rPr>
                <w:sz w:val="17"/>
              </w:rPr>
              <w:t>2.5000</w:t>
            </w:r>
          </w:p>
        </w:tc>
        <w:tc>
          <w:tcPr>
            <w:tcW w:type="dxa" w:w="2448"/>
            <w:vAlign w:val="center"/>
          </w:tcPr>
          <w:p>
            <w:r>
              <w:rPr>
                <w:sz w:val="17"/>
              </w:rPr>
              <w:t>1.12021</w:t>
            </w:r>
          </w:p>
        </w:tc>
      </w:tr>
      <w:tr>
        <w:tc>
          <w:tcPr>
            <w:tcW w:type="dxa" w:w="2448"/>
            <w:vAlign w:val="center"/>
          </w:tcPr>
          <w:p>
            <w:r>
              <w:rPr>
                <w:sz w:val="17"/>
              </w:rPr>
              <w:t>再制造：城市与本地制造商建立网络联系</w:t>
            </w:r>
          </w:p>
        </w:tc>
        <w:tc>
          <w:tcPr>
            <w:tcW w:type="dxa" w:w="2448"/>
            <w:vAlign w:val="center"/>
          </w:tcPr>
          <w:p>
            <w:r>
              <w:rPr>
                <w:sz w:val="17"/>
              </w:rPr>
              <w:t>258</w:t>
            </w:r>
          </w:p>
        </w:tc>
        <w:tc>
          <w:tcPr>
            <w:tcW w:type="dxa" w:w="2448"/>
            <w:vAlign w:val="center"/>
          </w:tcPr>
          <w:p>
            <w:r>
              <w:rPr>
                <w:sz w:val="17"/>
              </w:rPr>
              <w:t>2.3178</w:t>
            </w:r>
          </w:p>
        </w:tc>
        <w:tc>
          <w:tcPr>
            <w:tcW w:type="dxa" w:w="2448"/>
            <w:vAlign w:val="center"/>
          </w:tcPr>
          <w:p>
            <w:r>
              <w:rPr>
                <w:sz w:val="17"/>
              </w:rPr>
              <w:t>0.75356</w:t>
            </w:r>
          </w:p>
        </w:tc>
      </w:tr>
      <w:tr>
        <w:tc>
          <w:tcPr>
            <w:tcW w:type="dxa" w:w="2448"/>
            <w:vAlign w:val="center"/>
          </w:tcPr>
          <w:p>
            <w:r>
              <w:rPr>
                <w:sz w:val="17"/>
              </w:rPr>
              <w:t>再利用：制定再利用质量标准</w:t>
            </w:r>
          </w:p>
        </w:tc>
        <w:tc>
          <w:tcPr>
            <w:tcW w:type="dxa" w:w="2448"/>
            <w:vAlign w:val="center"/>
          </w:tcPr>
          <w:p>
            <w:r>
              <w:rPr>
                <w:sz w:val="17"/>
              </w:rPr>
              <w:t>258</w:t>
            </w:r>
          </w:p>
        </w:tc>
        <w:tc>
          <w:tcPr>
            <w:tcW w:type="dxa" w:w="2448"/>
            <w:vAlign w:val="center"/>
          </w:tcPr>
          <w:p>
            <w:r>
              <w:rPr>
                <w:sz w:val="17"/>
              </w:rPr>
              <w:t>2.6667</w:t>
            </w:r>
          </w:p>
        </w:tc>
        <w:tc>
          <w:tcPr>
            <w:tcW w:type="dxa" w:w="2448"/>
            <w:vAlign w:val="center"/>
          </w:tcPr>
          <w:p>
            <w:r>
              <w:rPr>
                <w:sz w:val="17"/>
              </w:rPr>
              <w:t>1.30150</w:t>
            </w:r>
          </w:p>
        </w:tc>
      </w:tr>
      <w:tr>
        <w:tc>
          <w:tcPr>
            <w:tcW w:type="dxa" w:w="2448"/>
            <w:vAlign w:val="center"/>
          </w:tcPr>
          <w:p>
            <w:r>
              <w:rPr>
                <w:sz w:val="17"/>
              </w:rPr>
              <w:t>再利用：检查并分拣以便再利用</w:t>
            </w:r>
          </w:p>
        </w:tc>
        <w:tc>
          <w:tcPr>
            <w:tcW w:type="dxa" w:w="2448"/>
            <w:vAlign w:val="center"/>
          </w:tcPr>
          <w:p>
            <w:r>
              <w:rPr>
                <w:sz w:val="17"/>
              </w:rPr>
              <w:t>258</w:t>
            </w:r>
          </w:p>
        </w:tc>
        <w:tc>
          <w:tcPr>
            <w:tcW w:type="dxa" w:w="2448"/>
            <w:vAlign w:val="center"/>
          </w:tcPr>
          <w:p>
            <w:r>
              <w:rPr>
                <w:sz w:val="17"/>
              </w:rPr>
              <w:t>2.4845</w:t>
            </w:r>
          </w:p>
        </w:tc>
        <w:tc>
          <w:tcPr>
            <w:tcW w:type="dxa" w:w="2448"/>
            <w:vAlign w:val="center"/>
          </w:tcPr>
          <w:p>
            <w:r>
              <w:rPr>
                <w:sz w:val="17"/>
              </w:rPr>
              <w:t>1.22306</w:t>
            </w:r>
          </w:p>
        </w:tc>
      </w:tr>
      <w:tr>
        <w:tc>
          <w:tcPr>
            <w:tcW w:type="dxa" w:w="2448"/>
            <w:vAlign w:val="center"/>
          </w:tcPr>
          <w:p>
            <w:r>
              <w:rPr>
                <w:sz w:val="17"/>
              </w:rPr>
              <w:t>处置和废弃物利用：填埋</w:t>
            </w:r>
          </w:p>
        </w:tc>
        <w:tc>
          <w:tcPr>
            <w:tcW w:type="dxa" w:w="2448"/>
            <w:vAlign w:val="center"/>
          </w:tcPr>
          <w:p>
            <w:r>
              <w:rPr>
                <w:sz w:val="17"/>
              </w:rPr>
              <w:t>258</w:t>
            </w:r>
          </w:p>
        </w:tc>
        <w:tc>
          <w:tcPr>
            <w:tcW w:type="dxa" w:w="2448"/>
            <w:vAlign w:val="center"/>
          </w:tcPr>
          <w:p>
            <w:r>
              <w:rPr>
                <w:sz w:val="17"/>
              </w:rPr>
              <w:t>2.8217</w:t>
            </w:r>
          </w:p>
        </w:tc>
        <w:tc>
          <w:tcPr>
            <w:tcW w:type="dxa" w:w="2448"/>
            <w:vAlign w:val="center"/>
          </w:tcPr>
          <w:p>
            <w:r>
              <w:rPr>
                <w:sz w:val="17"/>
              </w:rPr>
              <w:t>1.09081</w:t>
            </w:r>
          </w:p>
        </w:tc>
      </w:tr>
      <w:tr>
        <w:tc>
          <w:tcPr>
            <w:tcW w:type="dxa" w:w="2448"/>
            <w:vAlign w:val="center"/>
          </w:tcPr>
          <w:p>
            <w:r>
              <w:rPr>
                <w:sz w:val="17"/>
              </w:rPr>
              <w:t>处置和废弃物利用：焚烧</w:t>
            </w:r>
          </w:p>
        </w:tc>
        <w:tc>
          <w:tcPr>
            <w:tcW w:type="dxa" w:w="2448"/>
            <w:vAlign w:val="center"/>
          </w:tcPr>
          <w:p>
            <w:r>
              <w:rPr>
                <w:sz w:val="17"/>
              </w:rPr>
              <w:t>258</w:t>
            </w:r>
          </w:p>
        </w:tc>
        <w:tc>
          <w:tcPr>
            <w:tcW w:type="dxa" w:w="2448"/>
            <w:vAlign w:val="center"/>
          </w:tcPr>
          <w:p>
            <w:r>
              <w:rPr>
                <w:sz w:val="17"/>
              </w:rPr>
              <w:t>3.9264</w:t>
            </w:r>
          </w:p>
        </w:tc>
        <w:tc>
          <w:tcPr>
            <w:tcW w:type="dxa" w:w="2448"/>
            <w:vAlign w:val="center"/>
          </w:tcPr>
          <w:p>
            <w:r>
              <w:rPr>
                <w:sz w:val="17"/>
              </w:rPr>
              <w:t>1.03556</w:t>
            </w:r>
          </w:p>
        </w:tc>
      </w:tr>
      <w:tr>
        <w:tc>
          <w:tcPr>
            <w:tcW w:type="dxa" w:w="2448"/>
            <w:vAlign w:val="center"/>
          </w:tcPr>
          <w:p>
            <w:r>
              <w:rPr>
                <w:sz w:val="17"/>
              </w:rPr>
              <w:t>处置和废弃物利用：直接销售/二手市场</w:t>
            </w:r>
          </w:p>
        </w:tc>
        <w:tc>
          <w:tcPr>
            <w:tcW w:type="dxa" w:w="2448"/>
            <w:vAlign w:val="center"/>
          </w:tcPr>
          <w:p>
            <w:r>
              <w:rPr>
                <w:sz w:val="17"/>
              </w:rPr>
              <w:t>258</w:t>
            </w:r>
          </w:p>
        </w:tc>
        <w:tc>
          <w:tcPr>
            <w:tcW w:type="dxa" w:w="2448"/>
            <w:vAlign w:val="center"/>
          </w:tcPr>
          <w:p>
            <w:r>
              <w:rPr>
                <w:sz w:val="17"/>
              </w:rPr>
              <w:t>2.7868</w:t>
            </w:r>
          </w:p>
        </w:tc>
        <w:tc>
          <w:tcPr>
            <w:tcW w:type="dxa" w:w="2448"/>
            <w:vAlign w:val="center"/>
          </w:tcPr>
          <w:p>
            <w:r>
              <w:rPr>
                <w:sz w:val="17"/>
              </w:rPr>
              <w:t>1.06094</w:t>
            </w:r>
          </w:p>
        </w:tc>
      </w:tr>
    </w:tbl>
    <w:p>
      <w:pPr>
        <w:spacing w:after="40"/>
      </w:pPr>
    </w:p>
    <w:p>
      <w:pPr>
        <w:spacing w:line="269" w:lineRule="auto" w:after="100"/>
      </w:pPr>
      <w:r>
        <w:t>来源：2022年调查结果。</w:t>
      </w:r>
    </w:p>
    <w:p>
      <w:pPr>
        <w:pStyle w:val="Heading2"/>
        <w:spacing w:before="180" w:after="80"/>
      </w:pPr>
      <w:r>
        <w:t>3.5 逆向物流活动的驱动因素</w:t>
      </w:r>
    </w:p>
    <w:p>
      <w:pPr>
        <w:spacing w:line="269" w:lineRule="auto" w:after="100"/>
      </w:pPr>
      <w:r>
        <w:t>表7显示，降低新原材料成本、政府规则和法规、公司手册和政策、职业道德的均值高于界限值，说明这些变量对废旧瓶装水废弃物回收中的逆向物流活动具有重要贡献；其他项目均值低于平均值，对推动逆向物流的贡献较小。</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8"/>
              </w:rPr>
              <w:t>驱动因素</w:t>
            </w:r>
          </w:p>
        </w:tc>
        <w:tc>
          <w:tcPr>
            <w:tcW w:type="dxa" w:w="2448"/>
            <w:shd w:fill="D9EAF7"/>
            <w:vAlign w:val="center"/>
          </w:tcPr>
          <w:p>
            <w:r>
              <w:rPr>
                <w:b/>
                <w:sz w:val="18"/>
              </w:rPr>
              <w:t>N</w:t>
            </w:r>
          </w:p>
        </w:tc>
        <w:tc>
          <w:tcPr>
            <w:tcW w:type="dxa" w:w="2448"/>
            <w:shd w:fill="D9EAF7"/>
            <w:vAlign w:val="center"/>
          </w:tcPr>
          <w:p>
            <w:r>
              <w:rPr>
                <w:b/>
                <w:sz w:val="18"/>
              </w:rPr>
              <w:t>均值</w:t>
            </w:r>
          </w:p>
        </w:tc>
        <w:tc>
          <w:tcPr>
            <w:tcW w:type="dxa" w:w="2448"/>
            <w:shd w:fill="D9EAF7"/>
            <w:vAlign w:val="center"/>
          </w:tcPr>
          <w:p>
            <w:r>
              <w:rPr>
                <w:b/>
                <w:sz w:val="18"/>
              </w:rPr>
              <w:t>标准差</w:t>
            </w:r>
          </w:p>
        </w:tc>
      </w:tr>
      <w:tr>
        <w:tc>
          <w:tcPr>
            <w:tcW w:type="dxa" w:w="2448"/>
            <w:vAlign w:val="center"/>
          </w:tcPr>
          <w:p>
            <w:r>
              <w:rPr>
                <w:sz w:val="17"/>
              </w:rPr>
              <w:t>经济驱动：降低新原材料成本</w:t>
            </w:r>
          </w:p>
        </w:tc>
        <w:tc>
          <w:tcPr>
            <w:tcW w:type="dxa" w:w="2448"/>
            <w:vAlign w:val="center"/>
          </w:tcPr>
          <w:p>
            <w:r>
              <w:rPr>
                <w:sz w:val="17"/>
              </w:rPr>
              <w:t>258</w:t>
            </w:r>
          </w:p>
        </w:tc>
        <w:tc>
          <w:tcPr>
            <w:tcW w:type="dxa" w:w="2448"/>
            <w:vAlign w:val="center"/>
          </w:tcPr>
          <w:p>
            <w:r>
              <w:rPr>
                <w:sz w:val="17"/>
              </w:rPr>
              <w:t>3.8721</w:t>
            </w:r>
          </w:p>
        </w:tc>
        <w:tc>
          <w:tcPr>
            <w:tcW w:type="dxa" w:w="2448"/>
            <w:vAlign w:val="center"/>
          </w:tcPr>
          <w:p>
            <w:r>
              <w:rPr>
                <w:sz w:val="17"/>
              </w:rPr>
              <w:t>1.00733</w:t>
            </w:r>
          </w:p>
        </w:tc>
      </w:tr>
      <w:tr>
        <w:tc>
          <w:tcPr>
            <w:tcW w:type="dxa" w:w="2448"/>
            <w:vAlign w:val="center"/>
          </w:tcPr>
          <w:p>
            <w:r>
              <w:rPr>
                <w:sz w:val="17"/>
              </w:rPr>
              <w:t>经济驱动：提高盈利能力并增加库存可得性</w:t>
            </w:r>
          </w:p>
        </w:tc>
        <w:tc>
          <w:tcPr>
            <w:tcW w:type="dxa" w:w="2448"/>
            <w:vAlign w:val="center"/>
          </w:tcPr>
          <w:p>
            <w:r>
              <w:rPr>
                <w:sz w:val="17"/>
              </w:rPr>
              <w:t>258</w:t>
            </w:r>
          </w:p>
        </w:tc>
        <w:tc>
          <w:tcPr>
            <w:tcW w:type="dxa" w:w="2448"/>
            <w:vAlign w:val="center"/>
          </w:tcPr>
          <w:p>
            <w:r>
              <w:rPr>
                <w:sz w:val="17"/>
              </w:rPr>
              <w:t>2.5969</w:t>
            </w:r>
          </w:p>
        </w:tc>
        <w:tc>
          <w:tcPr>
            <w:tcW w:type="dxa" w:w="2448"/>
            <w:vAlign w:val="center"/>
          </w:tcPr>
          <w:p>
            <w:r>
              <w:rPr>
                <w:sz w:val="17"/>
              </w:rPr>
              <w:t>1.22566</w:t>
            </w:r>
          </w:p>
        </w:tc>
      </w:tr>
      <w:tr>
        <w:tc>
          <w:tcPr>
            <w:tcW w:type="dxa" w:w="2448"/>
            <w:vAlign w:val="center"/>
          </w:tcPr>
          <w:p>
            <w:r>
              <w:rPr>
                <w:sz w:val="17"/>
              </w:rPr>
              <w:t>经济驱动：提高客户满意度和忠诚度</w:t>
            </w:r>
          </w:p>
        </w:tc>
        <w:tc>
          <w:tcPr>
            <w:tcW w:type="dxa" w:w="2448"/>
            <w:vAlign w:val="center"/>
          </w:tcPr>
          <w:p>
            <w:r>
              <w:rPr>
                <w:sz w:val="17"/>
              </w:rPr>
              <w:t>258</w:t>
            </w:r>
          </w:p>
        </w:tc>
        <w:tc>
          <w:tcPr>
            <w:tcW w:type="dxa" w:w="2448"/>
            <w:vAlign w:val="center"/>
          </w:tcPr>
          <w:p>
            <w:r>
              <w:rPr>
                <w:sz w:val="17"/>
              </w:rPr>
              <w:t>3.3023</w:t>
            </w:r>
          </w:p>
        </w:tc>
        <w:tc>
          <w:tcPr>
            <w:tcW w:type="dxa" w:w="2448"/>
            <w:vAlign w:val="center"/>
          </w:tcPr>
          <w:p>
            <w:r>
              <w:rPr>
                <w:sz w:val="17"/>
              </w:rPr>
              <w:t>1.23883</w:t>
            </w:r>
          </w:p>
        </w:tc>
      </w:tr>
      <w:tr>
        <w:tc>
          <w:tcPr>
            <w:tcW w:type="dxa" w:w="2448"/>
            <w:vAlign w:val="center"/>
          </w:tcPr>
          <w:p>
            <w:r>
              <w:rPr>
                <w:sz w:val="17"/>
              </w:rPr>
              <w:t>法规：政府规则和法规的作用</w:t>
            </w:r>
          </w:p>
        </w:tc>
        <w:tc>
          <w:tcPr>
            <w:tcW w:type="dxa" w:w="2448"/>
            <w:vAlign w:val="center"/>
          </w:tcPr>
          <w:p>
            <w:r>
              <w:rPr>
                <w:sz w:val="17"/>
              </w:rPr>
              <w:t>258</w:t>
            </w:r>
          </w:p>
        </w:tc>
        <w:tc>
          <w:tcPr>
            <w:tcW w:type="dxa" w:w="2448"/>
            <w:vAlign w:val="center"/>
          </w:tcPr>
          <w:p>
            <w:r>
              <w:rPr>
                <w:sz w:val="17"/>
              </w:rPr>
              <w:t>3.4147</w:t>
            </w:r>
          </w:p>
        </w:tc>
        <w:tc>
          <w:tcPr>
            <w:tcW w:type="dxa" w:w="2448"/>
            <w:vAlign w:val="center"/>
          </w:tcPr>
          <w:p>
            <w:r>
              <w:rPr>
                <w:sz w:val="17"/>
              </w:rPr>
              <w:t>1.24542</w:t>
            </w:r>
          </w:p>
        </w:tc>
      </w:tr>
      <w:tr>
        <w:tc>
          <w:tcPr>
            <w:tcW w:type="dxa" w:w="2448"/>
            <w:vAlign w:val="center"/>
          </w:tcPr>
          <w:p>
            <w:r>
              <w:rPr>
                <w:sz w:val="17"/>
              </w:rPr>
              <w:t>法规：公司手册和政策</w:t>
            </w:r>
          </w:p>
        </w:tc>
        <w:tc>
          <w:tcPr>
            <w:tcW w:type="dxa" w:w="2448"/>
            <w:vAlign w:val="center"/>
          </w:tcPr>
          <w:p>
            <w:r>
              <w:rPr>
                <w:sz w:val="17"/>
              </w:rPr>
              <w:t>258</w:t>
            </w:r>
          </w:p>
        </w:tc>
        <w:tc>
          <w:tcPr>
            <w:tcW w:type="dxa" w:w="2448"/>
            <w:vAlign w:val="center"/>
          </w:tcPr>
          <w:p>
            <w:r>
              <w:rPr>
                <w:sz w:val="17"/>
              </w:rPr>
              <w:t>3.9922</w:t>
            </w:r>
          </w:p>
        </w:tc>
        <w:tc>
          <w:tcPr>
            <w:tcW w:type="dxa" w:w="2448"/>
            <w:vAlign w:val="center"/>
          </w:tcPr>
          <w:p>
            <w:r>
              <w:rPr>
                <w:sz w:val="17"/>
              </w:rPr>
              <w:t>0.99412</w:t>
            </w:r>
          </w:p>
        </w:tc>
      </w:tr>
      <w:tr>
        <w:tc>
          <w:tcPr>
            <w:tcW w:type="dxa" w:w="2448"/>
            <w:vAlign w:val="center"/>
          </w:tcPr>
          <w:p>
            <w:r>
              <w:rPr>
                <w:sz w:val="17"/>
              </w:rPr>
              <w:t>法规：职业道德</w:t>
            </w:r>
          </w:p>
        </w:tc>
        <w:tc>
          <w:tcPr>
            <w:tcW w:type="dxa" w:w="2448"/>
            <w:vAlign w:val="center"/>
          </w:tcPr>
          <w:p>
            <w:r>
              <w:rPr>
                <w:sz w:val="17"/>
              </w:rPr>
              <w:t>258</w:t>
            </w:r>
          </w:p>
        </w:tc>
        <w:tc>
          <w:tcPr>
            <w:tcW w:type="dxa" w:w="2448"/>
            <w:vAlign w:val="center"/>
          </w:tcPr>
          <w:p>
            <w:r>
              <w:rPr>
                <w:sz w:val="17"/>
              </w:rPr>
              <w:t>3.8372</w:t>
            </w:r>
          </w:p>
        </w:tc>
        <w:tc>
          <w:tcPr>
            <w:tcW w:type="dxa" w:w="2448"/>
            <w:vAlign w:val="center"/>
          </w:tcPr>
          <w:p>
            <w:r>
              <w:rPr>
                <w:sz w:val="17"/>
              </w:rPr>
              <w:t>1.30423</w:t>
            </w:r>
          </w:p>
        </w:tc>
      </w:tr>
      <w:tr>
        <w:tc>
          <w:tcPr>
            <w:tcW w:type="dxa" w:w="2448"/>
            <w:vAlign w:val="center"/>
          </w:tcPr>
          <w:p>
            <w:r>
              <w:rPr>
                <w:sz w:val="17"/>
              </w:rPr>
              <w:t>企业社会责任：组织对逆向物流承担责任的价值或原则</w:t>
            </w:r>
          </w:p>
        </w:tc>
        <w:tc>
          <w:tcPr>
            <w:tcW w:type="dxa" w:w="2448"/>
            <w:vAlign w:val="center"/>
          </w:tcPr>
          <w:p>
            <w:r>
              <w:rPr>
                <w:sz w:val="17"/>
              </w:rPr>
              <w:t>258</w:t>
            </w:r>
          </w:p>
        </w:tc>
        <w:tc>
          <w:tcPr>
            <w:tcW w:type="dxa" w:w="2448"/>
            <w:vAlign w:val="center"/>
          </w:tcPr>
          <w:p>
            <w:r>
              <w:rPr>
                <w:sz w:val="17"/>
              </w:rPr>
              <w:t>2.8798</w:t>
            </w:r>
          </w:p>
        </w:tc>
        <w:tc>
          <w:tcPr>
            <w:tcW w:type="dxa" w:w="2448"/>
            <w:vAlign w:val="center"/>
          </w:tcPr>
          <w:p>
            <w:r>
              <w:rPr>
                <w:sz w:val="17"/>
              </w:rPr>
              <w:t>1.33390</w:t>
            </w:r>
          </w:p>
        </w:tc>
      </w:tr>
      <w:tr>
        <w:tc>
          <w:tcPr>
            <w:tcW w:type="dxa" w:w="2448"/>
            <w:vAlign w:val="center"/>
          </w:tcPr>
          <w:p>
            <w:r>
              <w:rPr>
                <w:sz w:val="17"/>
              </w:rPr>
              <w:t>企业社会责任：建立具有环境责任的组织形象</w:t>
            </w:r>
          </w:p>
        </w:tc>
        <w:tc>
          <w:tcPr>
            <w:tcW w:type="dxa" w:w="2448"/>
            <w:vAlign w:val="center"/>
          </w:tcPr>
          <w:p>
            <w:r>
              <w:rPr>
                <w:sz w:val="17"/>
              </w:rPr>
              <w:t>258</w:t>
            </w:r>
          </w:p>
        </w:tc>
        <w:tc>
          <w:tcPr>
            <w:tcW w:type="dxa" w:w="2448"/>
            <w:vAlign w:val="center"/>
          </w:tcPr>
          <w:p>
            <w:r>
              <w:rPr>
                <w:sz w:val="17"/>
              </w:rPr>
              <w:t>3.0116</w:t>
            </w:r>
          </w:p>
        </w:tc>
        <w:tc>
          <w:tcPr>
            <w:tcW w:type="dxa" w:w="2448"/>
            <w:vAlign w:val="center"/>
          </w:tcPr>
          <w:p>
            <w:r>
              <w:rPr>
                <w:sz w:val="17"/>
              </w:rPr>
              <w:t>1.19494</w:t>
            </w:r>
          </w:p>
        </w:tc>
      </w:tr>
    </w:tbl>
    <w:p>
      <w:pPr>
        <w:spacing w:after="40"/>
      </w:pPr>
    </w:p>
    <w:p>
      <w:pPr>
        <w:spacing w:line="269" w:lineRule="auto" w:after="100"/>
      </w:pPr>
      <w:r>
        <w:t>来源：2022年调查结果。</w:t>
      </w:r>
    </w:p>
    <w:p>
      <w:pPr>
        <w:pStyle w:val="Heading2"/>
        <w:spacing w:before="180" w:after="80"/>
      </w:pPr>
      <w:r>
        <w:t>3.6 逆向物流及其挑战</w:t>
      </w:r>
    </w:p>
    <w:p>
      <w:pPr>
        <w:spacing w:line="269" w:lineRule="auto" w:after="100"/>
      </w:pPr>
      <w:r>
        <w:t>Badenhorst和Nel[55]指出，逆向物流本质上是复杂过程，也是供应链中的专业部分。表8列出了组织实施逆向物流的障碍。功能整合不足、逆向物流的财务约束、高层管理承诺和管理风格，以及与本地制造商等供应链成员沟通合作不良，是主要挑战。访谈结果还显示，阿姆博市人口近年来增长，废弃物产生量随之增加；市政府因经济、财政、技术和人力资源不足，难以向全部居民提供高效的市政废弃物处置服务。</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8"/>
              </w:rPr>
              <w:t>实施逆向物流的挑战</w:t>
            </w:r>
          </w:p>
        </w:tc>
        <w:tc>
          <w:tcPr>
            <w:tcW w:type="dxa" w:w="2448"/>
            <w:shd w:fill="D9EAF7"/>
            <w:vAlign w:val="center"/>
          </w:tcPr>
          <w:p>
            <w:r>
              <w:rPr>
                <w:b/>
                <w:sz w:val="18"/>
              </w:rPr>
              <w:t>N</w:t>
            </w:r>
          </w:p>
        </w:tc>
        <w:tc>
          <w:tcPr>
            <w:tcW w:type="dxa" w:w="2448"/>
            <w:shd w:fill="D9EAF7"/>
            <w:vAlign w:val="center"/>
          </w:tcPr>
          <w:p>
            <w:r>
              <w:rPr>
                <w:b/>
                <w:sz w:val="18"/>
              </w:rPr>
              <w:t>均值</w:t>
            </w:r>
          </w:p>
        </w:tc>
        <w:tc>
          <w:tcPr>
            <w:tcW w:type="dxa" w:w="2448"/>
            <w:shd w:fill="D9EAF7"/>
            <w:vAlign w:val="center"/>
          </w:tcPr>
          <w:p>
            <w:r>
              <w:rPr>
                <w:b/>
                <w:sz w:val="18"/>
              </w:rPr>
              <w:t>标准差</w:t>
            </w:r>
          </w:p>
        </w:tc>
      </w:tr>
      <w:tr>
        <w:tc>
          <w:tcPr>
            <w:tcW w:type="dxa" w:w="2448"/>
            <w:vAlign w:val="center"/>
          </w:tcPr>
          <w:p>
            <w:r>
              <w:rPr>
                <w:sz w:val="17"/>
              </w:rPr>
              <w:t>逆向物流的财务障碍</w:t>
            </w:r>
          </w:p>
        </w:tc>
        <w:tc>
          <w:tcPr>
            <w:tcW w:type="dxa" w:w="2448"/>
            <w:vAlign w:val="center"/>
          </w:tcPr>
          <w:p>
            <w:r>
              <w:rPr>
                <w:sz w:val="17"/>
              </w:rPr>
              <w:t>258</w:t>
            </w:r>
          </w:p>
        </w:tc>
        <w:tc>
          <w:tcPr>
            <w:tcW w:type="dxa" w:w="2448"/>
            <w:vAlign w:val="center"/>
          </w:tcPr>
          <w:p>
            <w:r>
              <w:rPr>
                <w:sz w:val="17"/>
              </w:rPr>
              <w:t>3.8992</w:t>
            </w:r>
          </w:p>
        </w:tc>
        <w:tc>
          <w:tcPr>
            <w:tcW w:type="dxa" w:w="2448"/>
            <w:vAlign w:val="center"/>
          </w:tcPr>
          <w:p>
            <w:r>
              <w:rPr>
                <w:sz w:val="17"/>
              </w:rPr>
              <w:t>1.08291</w:t>
            </w:r>
          </w:p>
        </w:tc>
      </w:tr>
      <w:tr>
        <w:tc>
          <w:tcPr>
            <w:tcW w:type="dxa" w:w="2448"/>
            <w:vAlign w:val="center"/>
          </w:tcPr>
          <w:p>
            <w:r>
              <w:rPr>
                <w:sz w:val="17"/>
              </w:rPr>
              <w:t>与逆向物流相关的高成本</w:t>
            </w:r>
          </w:p>
        </w:tc>
        <w:tc>
          <w:tcPr>
            <w:tcW w:type="dxa" w:w="2448"/>
            <w:vAlign w:val="center"/>
          </w:tcPr>
          <w:p>
            <w:r>
              <w:rPr>
                <w:sz w:val="17"/>
              </w:rPr>
              <w:t>258</w:t>
            </w:r>
          </w:p>
        </w:tc>
        <w:tc>
          <w:tcPr>
            <w:tcW w:type="dxa" w:w="2448"/>
            <w:vAlign w:val="center"/>
          </w:tcPr>
          <w:p>
            <w:r>
              <w:rPr>
                <w:sz w:val="17"/>
              </w:rPr>
              <w:t>3.1085</w:t>
            </w:r>
          </w:p>
        </w:tc>
        <w:tc>
          <w:tcPr>
            <w:tcW w:type="dxa" w:w="2448"/>
            <w:vAlign w:val="center"/>
          </w:tcPr>
          <w:p>
            <w:r>
              <w:rPr>
                <w:sz w:val="17"/>
              </w:rPr>
              <w:t>1.30989</w:t>
            </w:r>
          </w:p>
        </w:tc>
      </w:tr>
      <w:tr>
        <w:tc>
          <w:tcPr>
            <w:tcW w:type="dxa" w:w="2448"/>
            <w:vAlign w:val="center"/>
          </w:tcPr>
          <w:p>
            <w:r>
              <w:rPr>
                <w:sz w:val="17"/>
              </w:rPr>
              <w:t>退货动态和预测复杂性</w:t>
            </w:r>
          </w:p>
        </w:tc>
        <w:tc>
          <w:tcPr>
            <w:tcW w:type="dxa" w:w="2448"/>
            <w:vAlign w:val="center"/>
          </w:tcPr>
          <w:p>
            <w:r>
              <w:rPr>
                <w:sz w:val="17"/>
              </w:rPr>
              <w:t>258</w:t>
            </w:r>
          </w:p>
        </w:tc>
        <w:tc>
          <w:tcPr>
            <w:tcW w:type="dxa" w:w="2448"/>
            <w:vAlign w:val="center"/>
          </w:tcPr>
          <w:p>
            <w:r>
              <w:rPr>
                <w:sz w:val="17"/>
              </w:rPr>
              <w:t>2.8643</w:t>
            </w:r>
          </w:p>
        </w:tc>
        <w:tc>
          <w:tcPr>
            <w:tcW w:type="dxa" w:w="2448"/>
            <w:vAlign w:val="center"/>
          </w:tcPr>
          <w:p>
            <w:r>
              <w:rPr>
                <w:sz w:val="17"/>
              </w:rPr>
              <w:t>1.44450</w:t>
            </w:r>
          </w:p>
        </w:tc>
      </w:tr>
      <w:tr>
        <w:tc>
          <w:tcPr>
            <w:tcW w:type="dxa" w:w="2448"/>
            <w:vAlign w:val="center"/>
          </w:tcPr>
          <w:p>
            <w:r>
              <w:rPr>
                <w:sz w:val="17"/>
              </w:rPr>
              <w:t>缺乏逆向物流专业知识</w:t>
            </w:r>
          </w:p>
        </w:tc>
        <w:tc>
          <w:tcPr>
            <w:tcW w:type="dxa" w:w="2448"/>
            <w:vAlign w:val="center"/>
          </w:tcPr>
          <w:p>
            <w:r>
              <w:rPr>
                <w:sz w:val="17"/>
              </w:rPr>
              <w:t>258</w:t>
            </w:r>
          </w:p>
        </w:tc>
        <w:tc>
          <w:tcPr>
            <w:tcW w:type="dxa" w:w="2448"/>
            <w:vAlign w:val="center"/>
          </w:tcPr>
          <w:p>
            <w:r>
              <w:rPr>
                <w:sz w:val="17"/>
              </w:rPr>
              <w:t>3.2132</w:t>
            </w:r>
          </w:p>
        </w:tc>
        <w:tc>
          <w:tcPr>
            <w:tcW w:type="dxa" w:w="2448"/>
            <w:vAlign w:val="center"/>
          </w:tcPr>
          <w:p>
            <w:r>
              <w:rPr>
                <w:sz w:val="17"/>
              </w:rPr>
              <w:t>1.07188</w:t>
            </w:r>
          </w:p>
        </w:tc>
      </w:tr>
      <w:tr>
        <w:tc>
          <w:tcPr>
            <w:tcW w:type="dxa" w:w="2448"/>
            <w:vAlign w:val="center"/>
          </w:tcPr>
          <w:p>
            <w:r>
              <w:rPr>
                <w:sz w:val="17"/>
              </w:rPr>
              <w:t>高层管理承诺和管理风格</w:t>
            </w:r>
          </w:p>
        </w:tc>
        <w:tc>
          <w:tcPr>
            <w:tcW w:type="dxa" w:w="2448"/>
            <w:vAlign w:val="center"/>
          </w:tcPr>
          <w:p>
            <w:r>
              <w:rPr>
                <w:sz w:val="17"/>
              </w:rPr>
              <w:t>258</w:t>
            </w:r>
          </w:p>
        </w:tc>
        <w:tc>
          <w:tcPr>
            <w:tcW w:type="dxa" w:w="2448"/>
            <w:vAlign w:val="center"/>
          </w:tcPr>
          <w:p>
            <w:r>
              <w:rPr>
                <w:sz w:val="17"/>
              </w:rPr>
              <w:t>3.6705</w:t>
            </w:r>
          </w:p>
        </w:tc>
        <w:tc>
          <w:tcPr>
            <w:tcW w:type="dxa" w:w="2448"/>
            <w:vAlign w:val="center"/>
          </w:tcPr>
          <w:p>
            <w:r>
              <w:rPr>
                <w:sz w:val="17"/>
              </w:rPr>
              <w:t>0.98034</w:t>
            </w:r>
          </w:p>
        </w:tc>
      </w:tr>
      <w:tr>
        <w:tc>
          <w:tcPr>
            <w:tcW w:type="dxa" w:w="2448"/>
            <w:vAlign w:val="center"/>
          </w:tcPr>
          <w:p>
            <w:r>
              <w:rPr>
                <w:sz w:val="17"/>
              </w:rPr>
              <w:t>功能整合不足</w:t>
            </w:r>
          </w:p>
        </w:tc>
        <w:tc>
          <w:tcPr>
            <w:tcW w:type="dxa" w:w="2448"/>
            <w:vAlign w:val="center"/>
          </w:tcPr>
          <w:p>
            <w:r>
              <w:rPr>
                <w:sz w:val="17"/>
              </w:rPr>
              <w:t>258</w:t>
            </w:r>
          </w:p>
        </w:tc>
        <w:tc>
          <w:tcPr>
            <w:tcW w:type="dxa" w:w="2448"/>
            <w:vAlign w:val="center"/>
          </w:tcPr>
          <w:p>
            <w:r>
              <w:rPr>
                <w:sz w:val="17"/>
              </w:rPr>
              <w:t>4.0930</w:t>
            </w:r>
          </w:p>
        </w:tc>
        <w:tc>
          <w:tcPr>
            <w:tcW w:type="dxa" w:w="2448"/>
            <w:vAlign w:val="center"/>
          </w:tcPr>
          <w:p>
            <w:r>
              <w:rPr>
                <w:sz w:val="17"/>
              </w:rPr>
              <w:t>1.02073</w:t>
            </w:r>
          </w:p>
        </w:tc>
      </w:tr>
      <w:tr>
        <w:tc>
          <w:tcPr>
            <w:tcW w:type="dxa" w:w="2448"/>
            <w:vAlign w:val="center"/>
          </w:tcPr>
          <w:p>
            <w:r>
              <w:rPr>
                <w:sz w:val="17"/>
              </w:rPr>
              <w:t>与供应链伙伴（如本地制造商）沟通和合作不良</w:t>
            </w:r>
          </w:p>
        </w:tc>
        <w:tc>
          <w:tcPr>
            <w:tcW w:type="dxa" w:w="2448"/>
            <w:vAlign w:val="center"/>
          </w:tcPr>
          <w:p>
            <w:r>
              <w:rPr>
                <w:sz w:val="17"/>
              </w:rPr>
              <w:t>258</w:t>
            </w:r>
          </w:p>
        </w:tc>
        <w:tc>
          <w:tcPr>
            <w:tcW w:type="dxa" w:w="2448"/>
            <w:vAlign w:val="center"/>
          </w:tcPr>
          <w:p>
            <w:r>
              <w:rPr>
                <w:sz w:val="17"/>
              </w:rPr>
              <w:t>3.3915</w:t>
            </w:r>
          </w:p>
        </w:tc>
        <w:tc>
          <w:tcPr>
            <w:tcW w:type="dxa" w:w="2448"/>
            <w:vAlign w:val="center"/>
          </w:tcPr>
          <w:p>
            <w:r>
              <w:rPr>
                <w:sz w:val="17"/>
              </w:rPr>
              <w:t>1.25605</w:t>
            </w:r>
          </w:p>
        </w:tc>
      </w:tr>
    </w:tbl>
    <w:p>
      <w:pPr>
        <w:spacing w:after="40"/>
      </w:pPr>
    </w:p>
    <w:p>
      <w:pPr>
        <w:spacing w:line="269" w:lineRule="auto" w:after="100"/>
      </w:pPr>
      <w:r>
        <w:t>来源：2022年调查结果。</w:t>
      </w:r>
    </w:p>
    <w:p>
      <w:pPr>
        <w:pStyle w:val="Heading2"/>
        <w:spacing w:before="180" w:after="80"/>
      </w:pPr>
      <w:r>
        <w:t>3.7 改进逆向物流的机制</w:t>
      </w:r>
    </w:p>
    <w:p>
      <w:pPr>
        <w:spacing w:line="269" w:lineRule="auto" w:after="100"/>
      </w:pPr>
      <w:r>
        <w:t>表9显示，作为逆向物流系统战略伙伴让所有利益相关者参与的均值为3.83，高于平均值；本地制造商和社区的正式培训、高层管理承诺和技术采用处于中等水平，外包低于平均值。因此，社区参与、培训、技术采用和高层管理承诺，对改进逆向物流实施具有重要影响。</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8"/>
              </w:rPr>
              <w:t>改进逆向物流的要素</w:t>
            </w:r>
          </w:p>
        </w:tc>
        <w:tc>
          <w:tcPr>
            <w:tcW w:type="dxa" w:w="2448"/>
            <w:shd w:fill="D9EAF7"/>
            <w:vAlign w:val="center"/>
          </w:tcPr>
          <w:p>
            <w:r>
              <w:rPr>
                <w:b/>
                <w:sz w:val="18"/>
              </w:rPr>
              <w:t>N</w:t>
            </w:r>
          </w:p>
        </w:tc>
        <w:tc>
          <w:tcPr>
            <w:tcW w:type="dxa" w:w="2448"/>
            <w:shd w:fill="D9EAF7"/>
            <w:vAlign w:val="center"/>
          </w:tcPr>
          <w:p>
            <w:r>
              <w:rPr>
                <w:b/>
                <w:sz w:val="18"/>
              </w:rPr>
              <w:t>均值</w:t>
            </w:r>
          </w:p>
        </w:tc>
        <w:tc>
          <w:tcPr>
            <w:tcW w:type="dxa" w:w="2448"/>
            <w:shd w:fill="D9EAF7"/>
            <w:vAlign w:val="center"/>
          </w:tcPr>
          <w:p>
            <w:r>
              <w:rPr>
                <w:b/>
                <w:sz w:val="18"/>
              </w:rPr>
              <w:t>标准差</w:t>
            </w:r>
          </w:p>
        </w:tc>
      </w:tr>
      <w:tr>
        <w:tc>
          <w:tcPr>
            <w:tcW w:type="dxa" w:w="2448"/>
            <w:vAlign w:val="center"/>
          </w:tcPr>
          <w:p>
            <w:r>
              <w:rPr>
                <w:sz w:val="17"/>
              </w:rPr>
              <w:t>高层管理对逆向物流的承诺</w:t>
            </w:r>
          </w:p>
        </w:tc>
        <w:tc>
          <w:tcPr>
            <w:tcW w:type="dxa" w:w="2448"/>
            <w:vAlign w:val="center"/>
          </w:tcPr>
          <w:p>
            <w:r>
              <w:rPr>
                <w:sz w:val="17"/>
              </w:rPr>
              <w:t>258</w:t>
            </w:r>
          </w:p>
        </w:tc>
        <w:tc>
          <w:tcPr>
            <w:tcW w:type="dxa" w:w="2448"/>
            <w:vAlign w:val="center"/>
          </w:tcPr>
          <w:p>
            <w:r>
              <w:rPr>
                <w:sz w:val="17"/>
              </w:rPr>
              <w:t>3.2481</w:t>
            </w:r>
          </w:p>
        </w:tc>
        <w:tc>
          <w:tcPr>
            <w:tcW w:type="dxa" w:w="2448"/>
            <w:vAlign w:val="center"/>
          </w:tcPr>
          <w:p>
            <w:r>
              <w:rPr>
                <w:sz w:val="17"/>
              </w:rPr>
              <w:t>1.25087</w:t>
            </w:r>
          </w:p>
        </w:tc>
      </w:tr>
      <w:tr>
        <w:tc>
          <w:tcPr>
            <w:tcW w:type="dxa" w:w="2448"/>
            <w:vAlign w:val="center"/>
          </w:tcPr>
          <w:p>
            <w:r>
              <w:rPr>
                <w:sz w:val="17"/>
              </w:rPr>
              <w:t>形成并吸纳供应链伙伴作为逆向物流战略伙伴（尤其是本地制造商）</w:t>
            </w:r>
          </w:p>
        </w:tc>
        <w:tc>
          <w:tcPr>
            <w:tcW w:type="dxa" w:w="2448"/>
            <w:vAlign w:val="center"/>
          </w:tcPr>
          <w:p>
            <w:r>
              <w:rPr>
                <w:sz w:val="17"/>
              </w:rPr>
              <w:t>258</w:t>
            </w:r>
          </w:p>
        </w:tc>
        <w:tc>
          <w:tcPr>
            <w:tcW w:type="dxa" w:w="2448"/>
            <w:vAlign w:val="center"/>
          </w:tcPr>
          <w:p>
            <w:r>
              <w:rPr>
                <w:sz w:val="17"/>
              </w:rPr>
              <w:t>3.8256</w:t>
            </w:r>
          </w:p>
        </w:tc>
        <w:tc>
          <w:tcPr>
            <w:tcW w:type="dxa" w:w="2448"/>
            <w:vAlign w:val="center"/>
          </w:tcPr>
          <w:p>
            <w:r>
              <w:rPr>
                <w:sz w:val="17"/>
              </w:rPr>
              <w:t>1.31314</w:t>
            </w:r>
          </w:p>
        </w:tc>
      </w:tr>
      <w:tr>
        <w:tc>
          <w:tcPr>
            <w:tcW w:type="dxa" w:w="2448"/>
            <w:vAlign w:val="center"/>
          </w:tcPr>
          <w:p>
            <w:r>
              <w:rPr>
                <w:sz w:val="17"/>
              </w:rPr>
              <w:t>采用适当技术开展逆向物流</w:t>
            </w:r>
          </w:p>
        </w:tc>
        <w:tc>
          <w:tcPr>
            <w:tcW w:type="dxa" w:w="2448"/>
            <w:vAlign w:val="center"/>
          </w:tcPr>
          <w:p>
            <w:r>
              <w:rPr>
                <w:sz w:val="17"/>
              </w:rPr>
              <w:t>258</w:t>
            </w:r>
          </w:p>
        </w:tc>
        <w:tc>
          <w:tcPr>
            <w:tcW w:type="dxa" w:w="2448"/>
            <w:vAlign w:val="center"/>
          </w:tcPr>
          <w:p>
            <w:r>
              <w:rPr>
                <w:sz w:val="17"/>
              </w:rPr>
              <w:t>3.3527</w:t>
            </w:r>
          </w:p>
        </w:tc>
        <w:tc>
          <w:tcPr>
            <w:tcW w:type="dxa" w:w="2448"/>
            <w:vAlign w:val="center"/>
          </w:tcPr>
          <w:p>
            <w:r>
              <w:rPr>
                <w:sz w:val="17"/>
              </w:rPr>
              <w:t>1.22061</w:t>
            </w:r>
          </w:p>
        </w:tc>
      </w:tr>
      <w:tr>
        <w:tc>
          <w:tcPr>
            <w:tcW w:type="dxa" w:w="2448"/>
            <w:vAlign w:val="center"/>
          </w:tcPr>
          <w:p>
            <w:r>
              <w:rPr>
                <w:sz w:val="17"/>
              </w:rPr>
              <w:t>对本地再制造产品开展逆向物流正式培训并改变观念</w:t>
            </w:r>
          </w:p>
        </w:tc>
        <w:tc>
          <w:tcPr>
            <w:tcW w:type="dxa" w:w="2448"/>
            <w:vAlign w:val="center"/>
          </w:tcPr>
          <w:p>
            <w:r>
              <w:rPr>
                <w:sz w:val="17"/>
              </w:rPr>
              <w:t>258</w:t>
            </w:r>
          </w:p>
        </w:tc>
        <w:tc>
          <w:tcPr>
            <w:tcW w:type="dxa" w:w="2448"/>
            <w:vAlign w:val="center"/>
          </w:tcPr>
          <w:p>
            <w:r>
              <w:rPr>
                <w:sz w:val="17"/>
              </w:rPr>
              <w:t>3.1938</w:t>
            </w:r>
          </w:p>
        </w:tc>
        <w:tc>
          <w:tcPr>
            <w:tcW w:type="dxa" w:w="2448"/>
            <w:vAlign w:val="center"/>
          </w:tcPr>
          <w:p>
            <w:r>
              <w:rPr>
                <w:sz w:val="17"/>
              </w:rPr>
              <w:t>1.38124</w:t>
            </w:r>
          </w:p>
        </w:tc>
      </w:tr>
      <w:tr>
        <w:tc>
          <w:tcPr>
            <w:tcW w:type="dxa" w:w="2448"/>
            <w:vAlign w:val="center"/>
          </w:tcPr>
          <w:p>
            <w:r>
              <w:rPr>
                <w:sz w:val="17"/>
              </w:rPr>
              <w:t>外包逆向物流活动</w:t>
            </w:r>
          </w:p>
        </w:tc>
        <w:tc>
          <w:tcPr>
            <w:tcW w:type="dxa" w:w="2448"/>
            <w:vAlign w:val="center"/>
          </w:tcPr>
          <w:p>
            <w:r>
              <w:rPr>
                <w:sz w:val="17"/>
              </w:rPr>
              <w:t>258</w:t>
            </w:r>
          </w:p>
        </w:tc>
        <w:tc>
          <w:tcPr>
            <w:tcW w:type="dxa" w:w="2448"/>
            <w:vAlign w:val="center"/>
          </w:tcPr>
          <w:p>
            <w:r>
              <w:rPr>
                <w:sz w:val="17"/>
              </w:rPr>
              <w:t>2.2907</w:t>
            </w:r>
          </w:p>
        </w:tc>
        <w:tc>
          <w:tcPr>
            <w:tcW w:type="dxa" w:w="2448"/>
            <w:vAlign w:val="center"/>
          </w:tcPr>
          <w:p>
            <w:r>
              <w:rPr>
                <w:sz w:val="17"/>
              </w:rPr>
              <w:t>1.38249</w:t>
            </w:r>
          </w:p>
        </w:tc>
      </w:tr>
    </w:tbl>
    <w:p>
      <w:pPr>
        <w:spacing w:after="40"/>
      </w:pPr>
    </w:p>
    <w:p>
      <w:pPr>
        <w:spacing w:line="269" w:lineRule="auto" w:after="100"/>
      </w:pPr>
      <w:r>
        <w:t>来源：2022年调查结果。</w:t>
      </w:r>
    </w:p>
    <w:p>
      <w:pPr>
        <w:pStyle w:val="Heading2"/>
        <w:spacing w:before="180" w:after="80"/>
      </w:pPr>
      <w:r>
        <w:t>3.8 卡方检验结果</w:t>
      </w:r>
    </w:p>
    <w:p>
      <w:pPr>
        <w:spacing w:line="269" w:lineRule="auto" w:after="100"/>
      </w:pPr>
      <w:r>
        <w:t>表10的卡方检验显示，再利用与固体废弃物管理之间存在统计关系（Pearson χ²=253.999，df=1，p=0.000；有效案例数258）。结果表明，再利用是管理固体废弃物的有效方式，地方当局应探索通过再利用提高运营效率。</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9EAF7"/>
            <w:vAlign w:val="center"/>
          </w:tcPr>
          <w:p>
            <w:r>
              <w:rPr>
                <w:b/>
                <w:sz w:val="18"/>
              </w:rPr>
              <w:t>检验</w:t>
            </w:r>
          </w:p>
        </w:tc>
        <w:tc>
          <w:tcPr>
            <w:tcW w:type="dxa" w:w="1632"/>
            <w:shd w:fill="D9EAF7"/>
            <w:vAlign w:val="center"/>
          </w:tcPr>
          <w:p>
            <w:r>
              <w:rPr>
                <w:b/>
                <w:sz w:val="18"/>
              </w:rPr>
              <w:t>值</w:t>
            </w:r>
          </w:p>
        </w:tc>
        <w:tc>
          <w:tcPr>
            <w:tcW w:type="dxa" w:w="1632"/>
            <w:shd w:fill="D9EAF7"/>
            <w:vAlign w:val="center"/>
          </w:tcPr>
          <w:p>
            <w:r>
              <w:rPr>
                <w:b/>
                <w:sz w:val="18"/>
              </w:rPr>
              <w:t>df</w:t>
            </w:r>
          </w:p>
        </w:tc>
        <w:tc>
          <w:tcPr>
            <w:tcW w:type="dxa" w:w="1632"/>
            <w:shd w:fill="D9EAF7"/>
            <w:vAlign w:val="center"/>
          </w:tcPr>
          <w:p>
            <w:r>
              <w:rPr>
                <w:b/>
                <w:sz w:val="18"/>
              </w:rPr>
              <w:t>渐近显著性（双侧）</w:t>
            </w:r>
          </w:p>
        </w:tc>
        <w:tc>
          <w:tcPr>
            <w:tcW w:type="dxa" w:w="1632"/>
            <w:shd w:fill="D9EAF7"/>
            <w:vAlign w:val="center"/>
          </w:tcPr>
          <w:p>
            <w:r>
              <w:rPr>
                <w:b/>
                <w:sz w:val="18"/>
              </w:rPr>
              <w:t>精确显著性（双侧）</w:t>
            </w:r>
          </w:p>
        </w:tc>
        <w:tc>
          <w:tcPr>
            <w:tcW w:type="dxa" w:w="1632"/>
            <w:shd w:fill="D9EAF7"/>
            <w:vAlign w:val="center"/>
          </w:tcPr>
          <w:p>
            <w:r>
              <w:rPr>
                <w:b/>
                <w:sz w:val="18"/>
              </w:rPr>
              <w:t>精确显著性（单侧）</w:t>
            </w:r>
          </w:p>
        </w:tc>
      </w:tr>
      <w:tr>
        <w:tc>
          <w:tcPr>
            <w:tcW w:type="dxa" w:w="1632"/>
            <w:vAlign w:val="center"/>
          </w:tcPr>
          <w:p>
            <w:r>
              <w:rPr>
                <w:sz w:val="17"/>
              </w:rPr>
              <w:t>Pearson卡方</w:t>
            </w:r>
          </w:p>
        </w:tc>
        <w:tc>
          <w:tcPr>
            <w:tcW w:type="dxa" w:w="1632"/>
            <w:vAlign w:val="center"/>
          </w:tcPr>
          <w:p>
            <w:r>
              <w:rPr>
                <w:sz w:val="17"/>
              </w:rPr>
              <w:t>253.999</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t>0.000</w:t>
            </w:r>
          </w:p>
        </w:tc>
      </w:tr>
      <w:tr>
        <w:tc>
          <w:tcPr>
            <w:tcW w:type="dxa" w:w="1632"/>
            <w:vAlign w:val="center"/>
          </w:tcPr>
          <w:p>
            <w:r>
              <w:rPr>
                <w:sz w:val="17"/>
              </w:rPr>
              <w:t>连续性校正</w:t>
            </w:r>
          </w:p>
        </w:tc>
        <w:tc>
          <w:tcPr>
            <w:tcW w:type="dxa" w:w="1632"/>
            <w:vAlign w:val="center"/>
          </w:tcPr>
          <w:p>
            <w:r>
              <w:rPr>
                <w:sz w:val="17"/>
              </w:rPr>
              <w:t>250.014</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r>
          </w:p>
        </w:tc>
        <w:tc>
          <w:tcPr>
            <w:tcW w:type="dxa" w:w="1632"/>
            <w:vAlign w:val="center"/>
          </w:tcPr>
          <w:p>
            <w:r>
              <w:rPr>
                <w:sz w:val="17"/>
              </w:rPr>
            </w:r>
          </w:p>
        </w:tc>
      </w:tr>
      <w:tr>
        <w:tc>
          <w:tcPr>
            <w:tcW w:type="dxa" w:w="1632"/>
            <w:vAlign w:val="center"/>
          </w:tcPr>
          <w:p>
            <w:r>
              <w:rPr>
                <w:sz w:val="17"/>
              </w:rPr>
              <w:t>似然比</w:t>
            </w:r>
          </w:p>
        </w:tc>
        <w:tc>
          <w:tcPr>
            <w:tcW w:type="dxa" w:w="1632"/>
            <w:vAlign w:val="center"/>
          </w:tcPr>
          <w:p>
            <w:r>
              <w:rPr>
                <w:sz w:val="17"/>
              </w:rPr>
              <w:t>343.895</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t>0.000</w:t>
            </w:r>
          </w:p>
        </w:tc>
      </w:tr>
      <w:tr>
        <w:tc>
          <w:tcPr>
            <w:tcW w:type="dxa" w:w="1632"/>
            <w:vAlign w:val="center"/>
          </w:tcPr>
          <w:p>
            <w:r>
              <w:rPr>
                <w:sz w:val="17"/>
              </w:rPr>
              <w:t>Fisher精确检验</w:t>
            </w:r>
          </w:p>
        </w:tc>
        <w:tc>
          <w:tcPr>
            <w:tcW w:type="dxa" w:w="1632"/>
            <w:vAlign w:val="center"/>
          </w:tcPr>
          <w:p>
            <w:r>
              <w:rPr>
                <w:sz w:val="17"/>
              </w:rPr>
            </w:r>
          </w:p>
        </w:tc>
        <w:tc>
          <w:tcPr>
            <w:tcW w:type="dxa" w:w="1632"/>
            <w:vAlign w:val="center"/>
          </w:tcPr>
          <w:p>
            <w:r>
              <w:rPr>
                <w:sz w:val="17"/>
              </w:rPr>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r>
          </w:p>
        </w:tc>
      </w:tr>
      <w:tr>
        <w:tc>
          <w:tcPr>
            <w:tcW w:type="dxa" w:w="1632"/>
            <w:vAlign w:val="center"/>
          </w:tcPr>
          <w:p>
            <w:r>
              <w:rPr>
                <w:sz w:val="17"/>
              </w:rPr>
              <w:t>线性×线性关联</w:t>
            </w:r>
          </w:p>
        </w:tc>
        <w:tc>
          <w:tcPr>
            <w:tcW w:type="dxa" w:w="1632"/>
            <w:vAlign w:val="center"/>
          </w:tcPr>
          <w:p>
            <w:r>
              <w:rPr>
                <w:sz w:val="17"/>
              </w:rPr>
              <w:t>253.015</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t>0.000</w:t>
            </w:r>
          </w:p>
        </w:tc>
      </w:tr>
    </w:tbl>
    <w:p>
      <w:pPr>
        <w:spacing w:after="40"/>
      </w:pPr>
    </w:p>
    <w:p>
      <w:pPr>
        <w:spacing w:line="269" w:lineRule="auto" w:after="100"/>
      </w:pPr>
      <w:r>
        <w:t>表11显示，处置与固体废弃物管理之间存在显著关系（Pearson χ²=86.574，df=2，p=0.000；Fisher精确检验值110.638）。减少不当处置并实施逆向物流和固体废弃物管理，可以提升企业绩效。</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sz w:val="18"/>
              </w:rPr>
              <w:t>检验</w:t>
            </w:r>
          </w:p>
        </w:tc>
        <w:tc>
          <w:tcPr>
            <w:tcW w:type="dxa" w:w="1958"/>
            <w:shd w:fill="D9EAF7"/>
            <w:vAlign w:val="center"/>
          </w:tcPr>
          <w:p>
            <w:r>
              <w:rPr>
                <w:b/>
                <w:sz w:val="18"/>
              </w:rPr>
              <w:t>值</w:t>
            </w:r>
          </w:p>
        </w:tc>
        <w:tc>
          <w:tcPr>
            <w:tcW w:type="dxa" w:w="1958"/>
            <w:shd w:fill="D9EAF7"/>
            <w:vAlign w:val="center"/>
          </w:tcPr>
          <w:p>
            <w:r>
              <w:rPr>
                <w:b/>
                <w:sz w:val="18"/>
              </w:rPr>
              <w:t>df</w:t>
            </w:r>
          </w:p>
        </w:tc>
        <w:tc>
          <w:tcPr>
            <w:tcW w:type="dxa" w:w="1958"/>
            <w:shd w:fill="D9EAF7"/>
            <w:vAlign w:val="center"/>
          </w:tcPr>
          <w:p>
            <w:r>
              <w:rPr>
                <w:b/>
                <w:sz w:val="18"/>
              </w:rPr>
              <w:t>渐近显著性（双侧）</w:t>
            </w:r>
          </w:p>
        </w:tc>
        <w:tc>
          <w:tcPr>
            <w:tcW w:type="dxa" w:w="1958"/>
            <w:shd w:fill="D9EAF7"/>
            <w:vAlign w:val="center"/>
          </w:tcPr>
          <w:p>
            <w:r>
              <w:rPr>
                <w:b/>
                <w:sz w:val="18"/>
              </w:rPr>
              <w:t>精确显著性（双侧）</w:t>
            </w:r>
          </w:p>
        </w:tc>
      </w:tr>
      <w:tr>
        <w:tc>
          <w:tcPr>
            <w:tcW w:type="dxa" w:w="1958"/>
            <w:vAlign w:val="center"/>
          </w:tcPr>
          <w:p>
            <w:r>
              <w:rPr>
                <w:sz w:val="17"/>
              </w:rPr>
              <w:t>Pearson卡方</w:t>
            </w:r>
          </w:p>
        </w:tc>
        <w:tc>
          <w:tcPr>
            <w:tcW w:type="dxa" w:w="1958"/>
            <w:vAlign w:val="center"/>
          </w:tcPr>
          <w:p>
            <w:r>
              <w:rPr>
                <w:sz w:val="17"/>
              </w:rPr>
              <w:t>86.574</w:t>
            </w:r>
          </w:p>
        </w:tc>
        <w:tc>
          <w:tcPr>
            <w:tcW w:type="dxa" w:w="1958"/>
            <w:vAlign w:val="center"/>
          </w:tcPr>
          <w:p>
            <w:r>
              <w:rPr>
                <w:sz w:val="17"/>
              </w:rPr>
              <w:t>2</w:t>
            </w:r>
          </w:p>
        </w:tc>
        <w:tc>
          <w:tcPr>
            <w:tcW w:type="dxa" w:w="1958"/>
            <w:vAlign w:val="center"/>
          </w:tcPr>
          <w:p>
            <w:r>
              <w:rPr>
                <w:sz w:val="17"/>
              </w:rPr>
              <w:t>0.000</w:t>
            </w:r>
          </w:p>
        </w:tc>
        <w:tc>
          <w:tcPr>
            <w:tcW w:type="dxa" w:w="1958"/>
            <w:vAlign w:val="center"/>
          </w:tcPr>
          <w:p>
            <w:r>
              <w:rPr>
                <w:sz w:val="17"/>
              </w:rPr>
              <w:t>0.000</w:t>
            </w:r>
          </w:p>
        </w:tc>
      </w:tr>
      <w:tr>
        <w:tc>
          <w:tcPr>
            <w:tcW w:type="dxa" w:w="1958"/>
            <w:vAlign w:val="center"/>
          </w:tcPr>
          <w:p>
            <w:r>
              <w:rPr>
                <w:sz w:val="17"/>
              </w:rPr>
              <w:t>似然比</w:t>
            </w:r>
          </w:p>
        </w:tc>
        <w:tc>
          <w:tcPr>
            <w:tcW w:type="dxa" w:w="1958"/>
            <w:vAlign w:val="center"/>
          </w:tcPr>
          <w:p>
            <w:r>
              <w:rPr>
                <w:sz w:val="17"/>
              </w:rPr>
              <w:t>118.666</w:t>
            </w:r>
          </w:p>
        </w:tc>
        <w:tc>
          <w:tcPr>
            <w:tcW w:type="dxa" w:w="1958"/>
            <w:vAlign w:val="center"/>
          </w:tcPr>
          <w:p>
            <w:r>
              <w:rPr>
                <w:sz w:val="17"/>
              </w:rPr>
              <w:t>2</w:t>
            </w:r>
          </w:p>
        </w:tc>
        <w:tc>
          <w:tcPr>
            <w:tcW w:type="dxa" w:w="1958"/>
            <w:vAlign w:val="center"/>
          </w:tcPr>
          <w:p>
            <w:r>
              <w:rPr>
                <w:sz w:val="17"/>
              </w:rPr>
              <w:t>0.000</w:t>
            </w:r>
          </w:p>
        </w:tc>
        <w:tc>
          <w:tcPr>
            <w:tcW w:type="dxa" w:w="1958"/>
            <w:vAlign w:val="center"/>
          </w:tcPr>
          <w:p>
            <w:r>
              <w:rPr>
                <w:sz w:val="17"/>
              </w:rPr>
              <w:t>0.000</w:t>
            </w:r>
          </w:p>
        </w:tc>
      </w:tr>
      <w:tr>
        <w:tc>
          <w:tcPr>
            <w:tcW w:type="dxa" w:w="1958"/>
            <w:vAlign w:val="center"/>
          </w:tcPr>
          <w:p>
            <w:r>
              <w:rPr>
                <w:sz w:val="17"/>
              </w:rPr>
              <w:t>Fisher精确检验</w:t>
            </w:r>
          </w:p>
        </w:tc>
        <w:tc>
          <w:tcPr>
            <w:tcW w:type="dxa" w:w="1958"/>
            <w:vAlign w:val="center"/>
          </w:tcPr>
          <w:p>
            <w:r>
              <w:rPr>
                <w:sz w:val="17"/>
              </w:rPr>
              <w:t>110.638</w:t>
            </w:r>
          </w:p>
        </w:tc>
        <w:tc>
          <w:tcPr>
            <w:tcW w:type="dxa" w:w="1958"/>
            <w:vAlign w:val="center"/>
          </w:tcPr>
          <w:p>
            <w:r>
              <w:rPr>
                <w:sz w:val="17"/>
              </w:rPr>
            </w:r>
          </w:p>
        </w:tc>
        <w:tc>
          <w:tcPr>
            <w:tcW w:type="dxa" w:w="1958"/>
            <w:vAlign w:val="center"/>
          </w:tcPr>
          <w:p>
            <w:r>
              <w:rPr>
                <w:sz w:val="17"/>
              </w:rPr>
              <w:t>0.000</w:t>
            </w:r>
          </w:p>
        </w:tc>
        <w:tc>
          <w:tcPr>
            <w:tcW w:type="dxa" w:w="1958"/>
            <w:vAlign w:val="center"/>
          </w:tcPr>
          <w:p>
            <w:r>
              <w:rPr>
                <w:sz w:val="17"/>
              </w:rPr>
            </w:r>
          </w:p>
        </w:tc>
      </w:tr>
      <w:tr>
        <w:tc>
          <w:tcPr>
            <w:tcW w:type="dxa" w:w="1958"/>
            <w:vAlign w:val="center"/>
          </w:tcPr>
          <w:p>
            <w:r>
              <w:rPr>
                <w:sz w:val="17"/>
              </w:rPr>
              <w:t>线性×线性关联</w:t>
            </w:r>
          </w:p>
        </w:tc>
        <w:tc>
          <w:tcPr>
            <w:tcW w:type="dxa" w:w="1958"/>
            <w:vAlign w:val="center"/>
          </w:tcPr>
          <w:p>
            <w:r>
              <w:rPr>
                <w:sz w:val="17"/>
              </w:rPr>
              <w:t>85.457</w:t>
            </w:r>
          </w:p>
        </w:tc>
        <w:tc>
          <w:tcPr>
            <w:tcW w:type="dxa" w:w="1958"/>
            <w:vAlign w:val="center"/>
          </w:tcPr>
          <w:p>
            <w:r>
              <w:rPr>
                <w:sz w:val="17"/>
              </w:rPr>
              <w:t>1</w:t>
            </w:r>
          </w:p>
        </w:tc>
        <w:tc>
          <w:tcPr>
            <w:tcW w:type="dxa" w:w="1958"/>
            <w:vAlign w:val="center"/>
          </w:tcPr>
          <w:p>
            <w:r>
              <w:rPr>
                <w:sz w:val="17"/>
              </w:rPr>
              <w:t>0.000</w:t>
            </w:r>
          </w:p>
        </w:tc>
        <w:tc>
          <w:tcPr>
            <w:tcW w:type="dxa" w:w="1958"/>
            <w:vAlign w:val="center"/>
          </w:tcPr>
          <w:p>
            <w:r>
              <w:rPr>
                <w:sz w:val="17"/>
              </w:rPr>
              <w:t>0.000</w:t>
            </w:r>
          </w:p>
        </w:tc>
      </w:tr>
    </w:tbl>
    <w:p>
      <w:pPr>
        <w:spacing w:after="40"/>
      </w:pPr>
    </w:p>
    <w:p>
      <w:pPr>
        <w:spacing w:line="269" w:lineRule="auto" w:after="100"/>
      </w:pPr>
      <w:r>
        <w:t>表12表明，经济驱动与固体废弃物管理之间存在显著关联（Pearson χ²=65.761，df=2，p=0.000；Fisher精确检验值83.446）。逆向物流和固体废弃物管理有助于经济增长和企业绩效提升，经济理由、营销目标和企业目标都是价值驱动因素。</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sz w:val="18"/>
              </w:rPr>
              <w:t>检验</w:t>
            </w:r>
          </w:p>
        </w:tc>
        <w:tc>
          <w:tcPr>
            <w:tcW w:type="dxa" w:w="1958"/>
            <w:shd w:fill="D9EAF7"/>
            <w:vAlign w:val="center"/>
          </w:tcPr>
          <w:p>
            <w:r>
              <w:rPr>
                <w:b/>
                <w:sz w:val="18"/>
              </w:rPr>
              <w:t>值</w:t>
            </w:r>
          </w:p>
        </w:tc>
        <w:tc>
          <w:tcPr>
            <w:tcW w:type="dxa" w:w="1958"/>
            <w:shd w:fill="D9EAF7"/>
            <w:vAlign w:val="center"/>
          </w:tcPr>
          <w:p>
            <w:r>
              <w:rPr>
                <w:b/>
                <w:sz w:val="18"/>
              </w:rPr>
              <w:t>df</w:t>
            </w:r>
          </w:p>
        </w:tc>
        <w:tc>
          <w:tcPr>
            <w:tcW w:type="dxa" w:w="1958"/>
            <w:shd w:fill="D9EAF7"/>
            <w:vAlign w:val="center"/>
          </w:tcPr>
          <w:p>
            <w:r>
              <w:rPr>
                <w:b/>
                <w:sz w:val="18"/>
              </w:rPr>
              <w:t>渐近显著性（双侧）</w:t>
            </w:r>
          </w:p>
        </w:tc>
        <w:tc>
          <w:tcPr>
            <w:tcW w:type="dxa" w:w="1958"/>
            <w:shd w:fill="D9EAF7"/>
            <w:vAlign w:val="center"/>
          </w:tcPr>
          <w:p>
            <w:r>
              <w:rPr>
                <w:b/>
                <w:sz w:val="18"/>
              </w:rPr>
              <w:t>精确显著性（双侧）</w:t>
            </w:r>
          </w:p>
        </w:tc>
      </w:tr>
      <w:tr>
        <w:tc>
          <w:tcPr>
            <w:tcW w:type="dxa" w:w="1958"/>
            <w:vAlign w:val="center"/>
          </w:tcPr>
          <w:p>
            <w:r>
              <w:rPr>
                <w:sz w:val="17"/>
              </w:rPr>
              <w:t>Pearson卡方</w:t>
            </w:r>
          </w:p>
        </w:tc>
        <w:tc>
          <w:tcPr>
            <w:tcW w:type="dxa" w:w="1958"/>
            <w:vAlign w:val="center"/>
          </w:tcPr>
          <w:p>
            <w:r>
              <w:rPr>
                <w:sz w:val="17"/>
              </w:rPr>
              <w:t>65.761</w:t>
            </w:r>
          </w:p>
        </w:tc>
        <w:tc>
          <w:tcPr>
            <w:tcW w:type="dxa" w:w="1958"/>
            <w:vAlign w:val="center"/>
          </w:tcPr>
          <w:p>
            <w:r>
              <w:rPr>
                <w:sz w:val="17"/>
              </w:rPr>
              <w:t>2</w:t>
            </w:r>
          </w:p>
        </w:tc>
        <w:tc>
          <w:tcPr>
            <w:tcW w:type="dxa" w:w="1958"/>
            <w:vAlign w:val="center"/>
          </w:tcPr>
          <w:p>
            <w:r>
              <w:rPr>
                <w:sz w:val="17"/>
              </w:rPr>
              <w:t>0.000</w:t>
            </w:r>
          </w:p>
        </w:tc>
        <w:tc>
          <w:tcPr>
            <w:tcW w:type="dxa" w:w="1958"/>
            <w:vAlign w:val="center"/>
          </w:tcPr>
          <w:p>
            <w:r>
              <w:rPr>
                <w:sz w:val="17"/>
              </w:rPr>
              <w:t>0.000</w:t>
            </w:r>
          </w:p>
        </w:tc>
      </w:tr>
      <w:tr>
        <w:tc>
          <w:tcPr>
            <w:tcW w:type="dxa" w:w="1958"/>
            <w:vAlign w:val="center"/>
          </w:tcPr>
          <w:p>
            <w:r>
              <w:rPr>
                <w:sz w:val="17"/>
              </w:rPr>
              <w:t>似然比</w:t>
            </w:r>
          </w:p>
        </w:tc>
        <w:tc>
          <w:tcPr>
            <w:tcW w:type="dxa" w:w="1958"/>
            <w:vAlign w:val="center"/>
          </w:tcPr>
          <w:p>
            <w:r>
              <w:rPr>
                <w:sz w:val="17"/>
              </w:rPr>
              <w:t>91.070</w:t>
            </w:r>
          </w:p>
        </w:tc>
        <w:tc>
          <w:tcPr>
            <w:tcW w:type="dxa" w:w="1958"/>
            <w:vAlign w:val="center"/>
          </w:tcPr>
          <w:p>
            <w:r>
              <w:rPr>
                <w:sz w:val="17"/>
              </w:rPr>
              <w:t>2</w:t>
            </w:r>
          </w:p>
        </w:tc>
        <w:tc>
          <w:tcPr>
            <w:tcW w:type="dxa" w:w="1958"/>
            <w:vAlign w:val="center"/>
          </w:tcPr>
          <w:p>
            <w:r>
              <w:rPr>
                <w:sz w:val="17"/>
              </w:rPr>
              <w:t>0.000</w:t>
            </w:r>
          </w:p>
        </w:tc>
        <w:tc>
          <w:tcPr>
            <w:tcW w:type="dxa" w:w="1958"/>
            <w:vAlign w:val="center"/>
          </w:tcPr>
          <w:p>
            <w:r>
              <w:rPr>
                <w:sz w:val="17"/>
              </w:rPr>
              <w:t>0.000</w:t>
            </w:r>
          </w:p>
        </w:tc>
      </w:tr>
      <w:tr>
        <w:tc>
          <w:tcPr>
            <w:tcW w:type="dxa" w:w="1958"/>
            <w:vAlign w:val="center"/>
          </w:tcPr>
          <w:p>
            <w:r>
              <w:rPr>
                <w:sz w:val="17"/>
              </w:rPr>
              <w:t>Fisher精确检验</w:t>
            </w:r>
          </w:p>
        </w:tc>
        <w:tc>
          <w:tcPr>
            <w:tcW w:type="dxa" w:w="1958"/>
            <w:vAlign w:val="center"/>
          </w:tcPr>
          <w:p>
            <w:r>
              <w:rPr>
                <w:sz w:val="17"/>
              </w:rPr>
              <w:t>83.446</w:t>
            </w:r>
          </w:p>
        </w:tc>
        <w:tc>
          <w:tcPr>
            <w:tcW w:type="dxa" w:w="1958"/>
            <w:vAlign w:val="center"/>
          </w:tcPr>
          <w:p>
            <w:r>
              <w:rPr>
                <w:sz w:val="17"/>
              </w:rPr>
            </w:r>
          </w:p>
        </w:tc>
        <w:tc>
          <w:tcPr>
            <w:tcW w:type="dxa" w:w="1958"/>
            <w:vAlign w:val="center"/>
          </w:tcPr>
          <w:p>
            <w:r>
              <w:rPr>
                <w:sz w:val="17"/>
              </w:rPr>
              <w:t>0.000</w:t>
            </w:r>
          </w:p>
        </w:tc>
        <w:tc>
          <w:tcPr>
            <w:tcW w:type="dxa" w:w="1958"/>
            <w:vAlign w:val="center"/>
          </w:tcPr>
          <w:p>
            <w:r>
              <w:rPr>
                <w:sz w:val="17"/>
              </w:rPr>
            </w:r>
          </w:p>
        </w:tc>
      </w:tr>
      <w:tr>
        <w:tc>
          <w:tcPr>
            <w:tcW w:type="dxa" w:w="1958"/>
            <w:vAlign w:val="center"/>
          </w:tcPr>
          <w:p>
            <w:r>
              <w:rPr>
                <w:sz w:val="17"/>
              </w:rPr>
              <w:t>线性×线性关联</w:t>
            </w:r>
          </w:p>
        </w:tc>
        <w:tc>
          <w:tcPr>
            <w:tcW w:type="dxa" w:w="1958"/>
            <w:vAlign w:val="center"/>
          </w:tcPr>
          <w:p>
            <w:r>
              <w:rPr>
                <w:sz w:val="17"/>
              </w:rPr>
              <w:t>65.416</w:t>
            </w:r>
          </w:p>
        </w:tc>
        <w:tc>
          <w:tcPr>
            <w:tcW w:type="dxa" w:w="1958"/>
            <w:vAlign w:val="center"/>
          </w:tcPr>
          <w:p>
            <w:r>
              <w:rPr>
                <w:sz w:val="17"/>
              </w:rPr>
              <w:t>1</w:t>
            </w:r>
          </w:p>
        </w:tc>
        <w:tc>
          <w:tcPr>
            <w:tcW w:type="dxa" w:w="1958"/>
            <w:vAlign w:val="center"/>
          </w:tcPr>
          <w:p>
            <w:r>
              <w:rPr>
                <w:sz w:val="17"/>
              </w:rPr>
              <w:t>0.000</w:t>
            </w:r>
          </w:p>
        </w:tc>
        <w:tc>
          <w:tcPr>
            <w:tcW w:type="dxa" w:w="1958"/>
            <w:vAlign w:val="center"/>
          </w:tcPr>
          <w:p>
            <w:r>
              <w:rPr>
                <w:sz w:val="17"/>
              </w:rPr>
              <w:t>0.000</w:t>
            </w:r>
          </w:p>
        </w:tc>
      </w:tr>
    </w:tbl>
    <w:p>
      <w:pPr>
        <w:spacing w:after="40"/>
      </w:pPr>
    </w:p>
    <w:p>
      <w:pPr>
        <w:spacing w:line="269" w:lineRule="auto" w:after="100"/>
      </w:pPr>
      <w:r>
        <w:t>表13显示，法规驱动与适当废弃物处置之间存在统计关联（Pearson χ²=99.744，df=1，p=0.000；Fisher精确检验p=0.000）。法规和环境立法会影响企业，并有助于改善废弃物管理和企业绩效。</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9EAF7"/>
            <w:vAlign w:val="center"/>
          </w:tcPr>
          <w:p>
            <w:r>
              <w:rPr>
                <w:b/>
                <w:sz w:val="18"/>
              </w:rPr>
              <w:t>检验</w:t>
            </w:r>
          </w:p>
        </w:tc>
        <w:tc>
          <w:tcPr>
            <w:tcW w:type="dxa" w:w="1632"/>
            <w:shd w:fill="D9EAF7"/>
            <w:vAlign w:val="center"/>
          </w:tcPr>
          <w:p>
            <w:r>
              <w:rPr>
                <w:b/>
                <w:sz w:val="18"/>
              </w:rPr>
              <w:t>值</w:t>
            </w:r>
          </w:p>
        </w:tc>
        <w:tc>
          <w:tcPr>
            <w:tcW w:type="dxa" w:w="1632"/>
            <w:shd w:fill="D9EAF7"/>
            <w:vAlign w:val="center"/>
          </w:tcPr>
          <w:p>
            <w:r>
              <w:rPr>
                <w:b/>
                <w:sz w:val="18"/>
              </w:rPr>
              <w:t>df</w:t>
            </w:r>
          </w:p>
        </w:tc>
        <w:tc>
          <w:tcPr>
            <w:tcW w:type="dxa" w:w="1632"/>
            <w:shd w:fill="D9EAF7"/>
            <w:vAlign w:val="center"/>
          </w:tcPr>
          <w:p>
            <w:r>
              <w:rPr>
                <w:b/>
                <w:sz w:val="18"/>
              </w:rPr>
              <w:t>渐近显著性（双侧）</w:t>
            </w:r>
          </w:p>
        </w:tc>
        <w:tc>
          <w:tcPr>
            <w:tcW w:type="dxa" w:w="1632"/>
            <w:shd w:fill="D9EAF7"/>
            <w:vAlign w:val="center"/>
          </w:tcPr>
          <w:p>
            <w:r>
              <w:rPr>
                <w:b/>
                <w:sz w:val="18"/>
              </w:rPr>
              <w:t>精确显著性（双侧）</w:t>
            </w:r>
          </w:p>
        </w:tc>
        <w:tc>
          <w:tcPr>
            <w:tcW w:type="dxa" w:w="1632"/>
            <w:shd w:fill="D9EAF7"/>
            <w:vAlign w:val="center"/>
          </w:tcPr>
          <w:p>
            <w:r>
              <w:rPr>
                <w:b/>
                <w:sz w:val="18"/>
              </w:rPr>
              <w:t>精确显著性（单侧）</w:t>
            </w:r>
          </w:p>
        </w:tc>
      </w:tr>
      <w:tr>
        <w:tc>
          <w:tcPr>
            <w:tcW w:type="dxa" w:w="1632"/>
            <w:vAlign w:val="center"/>
          </w:tcPr>
          <w:p>
            <w:r>
              <w:rPr>
                <w:sz w:val="17"/>
              </w:rPr>
              <w:t>Pearson卡方</w:t>
            </w:r>
          </w:p>
        </w:tc>
        <w:tc>
          <w:tcPr>
            <w:tcW w:type="dxa" w:w="1632"/>
            <w:vAlign w:val="center"/>
          </w:tcPr>
          <w:p>
            <w:r>
              <w:rPr>
                <w:sz w:val="17"/>
              </w:rPr>
              <w:t>99.744</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t>0.000</w:t>
            </w:r>
          </w:p>
        </w:tc>
      </w:tr>
      <w:tr>
        <w:tc>
          <w:tcPr>
            <w:tcW w:type="dxa" w:w="1632"/>
            <w:vAlign w:val="center"/>
          </w:tcPr>
          <w:p>
            <w:r>
              <w:rPr>
                <w:sz w:val="17"/>
              </w:rPr>
              <w:t>连续性校正</w:t>
            </w:r>
          </w:p>
        </w:tc>
        <w:tc>
          <w:tcPr>
            <w:tcW w:type="dxa" w:w="1632"/>
            <w:vAlign w:val="center"/>
          </w:tcPr>
          <w:p>
            <w:r>
              <w:rPr>
                <w:sz w:val="17"/>
              </w:rPr>
              <w:t>97.080</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r>
          </w:p>
        </w:tc>
        <w:tc>
          <w:tcPr>
            <w:tcW w:type="dxa" w:w="1632"/>
            <w:vAlign w:val="center"/>
          </w:tcPr>
          <w:p>
            <w:r>
              <w:rPr>
                <w:sz w:val="17"/>
              </w:rPr>
            </w:r>
          </w:p>
        </w:tc>
      </w:tr>
      <w:tr>
        <w:tc>
          <w:tcPr>
            <w:tcW w:type="dxa" w:w="1632"/>
            <w:vAlign w:val="center"/>
          </w:tcPr>
          <w:p>
            <w:r>
              <w:rPr>
                <w:sz w:val="17"/>
              </w:rPr>
              <w:t>似然比</w:t>
            </w:r>
          </w:p>
        </w:tc>
        <w:tc>
          <w:tcPr>
            <w:tcW w:type="dxa" w:w="1632"/>
            <w:vAlign w:val="center"/>
          </w:tcPr>
          <w:p>
            <w:r>
              <w:rPr>
                <w:sz w:val="17"/>
              </w:rPr>
              <w:t>130.916</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t>0.000</w:t>
            </w:r>
          </w:p>
        </w:tc>
      </w:tr>
      <w:tr>
        <w:tc>
          <w:tcPr>
            <w:tcW w:type="dxa" w:w="1632"/>
            <w:vAlign w:val="center"/>
          </w:tcPr>
          <w:p>
            <w:r>
              <w:rPr>
                <w:sz w:val="17"/>
              </w:rPr>
              <w:t>Fisher精确检验</w:t>
            </w:r>
          </w:p>
        </w:tc>
        <w:tc>
          <w:tcPr>
            <w:tcW w:type="dxa" w:w="1632"/>
            <w:vAlign w:val="center"/>
          </w:tcPr>
          <w:p>
            <w:r>
              <w:rPr>
                <w:sz w:val="17"/>
              </w:rPr>
            </w:r>
          </w:p>
        </w:tc>
        <w:tc>
          <w:tcPr>
            <w:tcW w:type="dxa" w:w="1632"/>
            <w:vAlign w:val="center"/>
          </w:tcPr>
          <w:p>
            <w:r>
              <w:rPr>
                <w:sz w:val="17"/>
              </w:rPr>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r>
          </w:p>
        </w:tc>
      </w:tr>
      <w:tr>
        <w:tc>
          <w:tcPr>
            <w:tcW w:type="dxa" w:w="1632"/>
            <w:vAlign w:val="center"/>
          </w:tcPr>
          <w:p>
            <w:r>
              <w:rPr>
                <w:sz w:val="17"/>
              </w:rPr>
              <w:t>线性×线性关联</w:t>
            </w:r>
          </w:p>
        </w:tc>
        <w:tc>
          <w:tcPr>
            <w:tcW w:type="dxa" w:w="1632"/>
            <w:vAlign w:val="center"/>
          </w:tcPr>
          <w:p>
            <w:r>
              <w:rPr>
                <w:sz w:val="17"/>
              </w:rPr>
              <w:t>99.358</w:t>
            </w:r>
          </w:p>
        </w:tc>
        <w:tc>
          <w:tcPr>
            <w:tcW w:type="dxa" w:w="1632"/>
            <w:vAlign w:val="center"/>
          </w:tcPr>
          <w:p>
            <w:r>
              <w:rPr>
                <w:sz w:val="17"/>
              </w:rPr>
              <w:t>1</w:t>
            </w:r>
          </w:p>
        </w:tc>
        <w:tc>
          <w:tcPr>
            <w:tcW w:type="dxa" w:w="1632"/>
            <w:vAlign w:val="center"/>
          </w:tcPr>
          <w:p>
            <w:r>
              <w:rPr>
                <w:sz w:val="17"/>
              </w:rPr>
              <w:t>0.000</w:t>
            </w:r>
          </w:p>
        </w:tc>
        <w:tc>
          <w:tcPr>
            <w:tcW w:type="dxa" w:w="1632"/>
            <w:vAlign w:val="center"/>
          </w:tcPr>
          <w:p>
            <w:r>
              <w:rPr>
                <w:sz w:val="17"/>
              </w:rPr>
              <w:t>0.000</w:t>
            </w:r>
          </w:p>
        </w:tc>
        <w:tc>
          <w:tcPr>
            <w:tcW w:type="dxa" w:w="1632"/>
            <w:vAlign w:val="center"/>
          </w:tcPr>
          <w:p>
            <w:r>
              <w:rPr>
                <w:sz w:val="17"/>
              </w:rPr>
              <w:t>0.000</w:t>
            </w:r>
          </w:p>
        </w:tc>
      </w:tr>
    </w:tbl>
    <w:p>
      <w:pPr>
        <w:spacing w:after="40"/>
      </w:pPr>
    </w:p>
    <w:p>
      <w:pPr>
        <w:spacing w:line="269" w:lineRule="auto" w:after="100"/>
      </w:pPr>
      <w:r>
        <w:t>表14显示，社会责任与固体废弃物处置之间存在较强关联（Pearson χ²=146.426，df=2，p=0.000；Fisher精确检验值167.669）。调查结果表明，社会责任有助于改善企业绩效。</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sz w:val="18"/>
              </w:rPr>
              <w:t>检验</w:t>
            </w:r>
          </w:p>
        </w:tc>
        <w:tc>
          <w:tcPr>
            <w:tcW w:type="dxa" w:w="1958"/>
            <w:shd w:fill="D9EAF7"/>
            <w:vAlign w:val="center"/>
          </w:tcPr>
          <w:p>
            <w:r>
              <w:rPr>
                <w:b/>
                <w:sz w:val="18"/>
              </w:rPr>
              <w:t>值</w:t>
            </w:r>
          </w:p>
        </w:tc>
        <w:tc>
          <w:tcPr>
            <w:tcW w:type="dxa" w:w="1958"/>
            <w:shd w:fill="D9EAF7"/>
            <w:vAlign w:val="center"/>
          </w:tcPr>
          <w:p>
            <w:r>
              <w:rPr>
                <w:b/>
                <w:sz w:val="18"/>
              </w:rPr>
              <w:t>df</w:t>
            </w:r>
          </w:p>
        </w:tc>
        <w:tc>
          <w:tcPr>
            <w:tcW w:type="dxa" w:w="1958"/>
            <w:shd w:fill="D9EAF7"/>
            <w:vAlign w:val="center"/>
          </w:tcPr>
          <w:p>
            <w:r>
              <w:rPr>
                <w:b/>
                <w:sz w:val="18"/>
              </w:rPr>
              <w:t>渐近显著性（双侧）</w:t>
            </w:r>
          </w:p>
        </w:tc>
        <w:tc>
          <w:tcPr>
            <w:tcW w:type="dxa" w:w="1958"/>
            <w:shd w:fill="D9EAF7"/>
            <w:vAlign w:val="center"/>
          </w:tcPr>
          <w:p>
            <w:r>
              <w:rPr>
                <w:b/>
                <w:sz w:val="18"/>
              </w:rPr>
              <w:t>精确显著性（双侧）</w:t>
            </w:r>
          </w:p>
        </w:tc>
      </w:tr>
      <w:tr>
        <w:tc>
          <w:tcPr>
            <w:tcW w:type="dxa" w:w="1958"/>
            <w:vAlign w:val="center"/>
          </w:tcPr>
          <w:p>
            <w:r>
              <w:rPr>
                <w:sz w:val="17"/>
              </w:rPr>
              <w:t>Pearson卡方</w:t>
            </w:r>
          </w:p>
        </w:tc>
        <w:tc>
          <w:tcPr>
            <w:tcW w:type="dxa" w:w="1958"/>
            <w:vAlign w:val="center"/>
          </w:tcPr>
          <w:p>
            <w:r>
              <w:rPr>
                <w:sz w:val="17"/>
              </w:rPr>
              <w:t>146.426</w:t>
            </w:r>
          </w:p>
        </w:tc>
        <w:tc>
          <w:tcPr>
            <w:tcW w:type="dxa" w:w="1958"/>
            <w:vAlign w:val="center"/>
          </w:tcPr>
          <w:p>
            <w:r>
              <w:rPr>
                <w:sz w:val="17"/>
              </w:rPr>
              <w:t>2</w:t>
            </w:r>
          </w:p>
        </w:tc>
        <w:tc>
          <w:tcPr>
            <w:tcW w:type="dxa" w:w="1958"/>
            <w:vAlign w:val="center"/>
          </w:tcPr>
          <w:p>
            <w:r>
              <w:rPr>
                <w:sz w:val="17"/>
              </w:rPr>
              <w:t>0.000</w:t>
            </w:r>
          </w:p>
        </w:tc>
        <w:tc>
          <w:tcPr>
            <w:tcW w:type="dxa" w:w="1958"/>
            <w:vAlign w:val="center"/>
          </w:tcPr>
          <w:p>
            <w:r>
              <w:rPr>
                <w:sz w:val="17"/>
              </w:rPr>
              <w:t>0.000</w:t>
            </w:r>
          </w:p>
        </w:tc>
      </w:tr>
      <w:tr>
        <w:tc>
          <w:tcPr>
            <w:tcW w:type="dxa" w:w="1958"/>
            <w:vAlign w:val="center"/>
          </w:tcPr>
          <w:p>
            <w:r>
              <w:rPr>
                <w:sz w:val="17"/>
              </w:rPr>
              <w:t>似然比</w:t>
            </w:r>
          </w:p>
        </w:tc>
        <w:tc>
          <w:tcPr>
            <w:tcW w:type="dxa" w:w="1958"/>
            <w:vAlign w:val="center"/>
          </w:tcPr>
          <w:p>
            <w:r>
              <w:rPr>
                <w:sz w:val="17"/>
              </w:rPr>
              <w:t>172.790</w:t>
            </w:r>
          </w:p>
        </w:tc>
        <w:tc>
          <w:tcPr>
            <w:tcW w:type="dxa" w:w="1958"/>
            <w:vAlign w:val="center"/>
          </w:tcPr>
          <w:p>
            <w:r>
              <w:rPr>
                <w:sz w:val="17"/>
              </w:rPr>
              <w:t>2</w:t>
            </w:r>
          </w:p>
        </w:tc>
        <w:tc>
          <w:tcPr>
            <w:tcW w:type="dxa" w:w="1958"/>
            <w:vAlign w:val="center"/>
          </w:tcPr>
          <w:p>
            <w:r>
              <w:rPr>
                <w:sz w:val="17"/>
              </w:rPr>
              <w:t>0.000</w:t>
            </w:r>
          </w:p>
        </w:tc>
        <w:tc>
          <w:tcPr>
            <w:tcW w:type="dxa" w:w="1958"/>
            <w:vAlign w:val="center"/>
          </w:tcPr>
          <w:p>
            <w:r>
              <w:rPr>
                <w:sz w:val="17"/>
              </w:rPr>
              <w:t>0.000</w:t>
            </w:r>
          </w:p>
        </w:tc>
      </w:tr>
      <w:tr>
        <w:tc>
          <w:tcPr>
            <w:tcW w:type="dxa" w:w="1958"/>
            <w:vAlign w:val="center"/>
          </w:tcPr>
          <w:p>
            <w:r>
              <w:rPr>
                <w:sz w:val="17"/>
              </w:rPr>
              <w:t>Fisher精确检验</w:t>
            </w:r>
          </w:p>
        </w:tc>
        <w:tc>
          <w:tcPr>
            <w:tcW w:type="dxa" w:w="1958"/>
            <w:vAlign w:val="center"/>
          </w:tcPr>
          <w:p>
            <w:r>
              <w:rPr>
                <w:sz w:val="17"/>
              </w:rPr>
              <w:t>167.669</w:t>
            </w:r>
          </w:p>
        </w:tc>
        <w:tc>
          <w:tcPr>
            <w:tcW w:type="dxa" w:w="1958"/>
            <w:vAlign w:val="center"/>
          </w:tcPr>
          <w:p>
            <w:r>
              <w:rPr>
                <w:sz w:val="17"/>
              </w:rPr>
            </w:r>
          </w:p>
        </w:tc>
        <w:tc>
          <w:tcPr>
            <w:tcW w:type="dxa" w:w="1958"/>
            <w:vAlign w:val="center"/>
          </w:tcPr>
          <w:p>
            <w:r>
              <w:rPr>
                <w:sz w:val="17"/>
              </w:rPr>
              <w:t>0.000</w:t>
            </w:r>
          </w:p>
        </w:tc>
        <w:tc>
          <w:tcPr>
            <w:tcW w:type="dxa" w:w="1958"/>
            <w:vAlign w:val="center"/>
          </w:tcPr>
          <w:p>
            <w:r>
              <w:rPr>
                <w:sz w:val="17"/>
              </w:rPr>
            </w:r>
          </w:p>
        </w:tc>
      </w:tr>
      <w:tr>
        <w:tc>
          <w:tcPr>
            <w:tcW w:type="dxa" w:w="1958"/>
            <w:vAlign w:val="center"/>
          </w:tcPr>
          <w:p>
            <w:r>
              <w:rPr>
                <w:sz w:val="17"/>
              </w:rPr>
              <w:t>线性×线性关联</w:t>
            </w:r>
          </w:p>
        </w:tc>
        <w:tc>
          <w:tcPr>
            <w:tcW w:type="dxa" w:w="1958"/>
            <w:vAlign w:val="center"/>
          </w:tcPr>
          <w:p>
            <w:r>
              <w:rPr>
                <w:sz w:val="17"/>
              </w:rPr>
              <w:t>135.863</w:t>
            </w:r>
          </w:p>
        </w:tc>
        <w:tc>
          <w:tcPr>
            <w:tcW w:type="dxa" w:w="1958"/>
            <w:vAlign w:val="center"/>
          </w:tcPr>
          <w:p>
            <w:r>
              <w:rPr>
                <w:sz w:val="17"/>
              </w:rPr>
              <w:t>1</w:t>
            </w:r>
          </w:p>
        </w:tc>
        <w:tc>
          <w:tcPr>
            <w:tcW w:type="dxa" w:w="1958"/>
            <w:vAlign w:val="center"/>
          </w:tcPr>
          <w:p>
            <w:r>
              <w:rPr>
                <w:sz w:val="17"/>
              </w:rPr>
              <w:t>0.000</w:t>
            </w:r>
          </w:p>
        </w:tc>
        <w:tc>
          <w:tcPr>
            <w:tcW w:type="dxa" w:w="1958"/>
            <w:vAlign w:val="center"/>
          </w:tcPr>
          <w:p>
            <w:r>
              <w:rPr>
                <w:sz w:val="17"/>
              </w:rPr>
              <w:t>0.000</w:t>
            </w:r>
          </w:p>
        </w:tc>
      </w:tr>
    </w:tbl>
    <w:p>
      <w:pPr>
        <w:spacing w:after="40"/>
      </w:pPr>
    </w:p>
    <w:p>
      <w:pPr>
        <w:pStyle w:val="Heading1"/>
        <w:spacing w:before="180" w:after="80"/>
      </w:pPr>
      <w:r>
        <w:t>4 讨论</w:t>
      </w:r>
    </w:p>
    <w:p>
      <w:pPr>
        <w:spacing w:line="269" w:lineRule="auto" w:after="100"/>
      </w:pPr>
      <w:r>
        <w:t>在经历经济发展和快速城市化的发展中国家，塑料废弃物管理的重要性预计会不断提高。本研究强调回收对建立长期塑料废弃物管理体系的重要性。结果显示，43.4%的阿姆博居民是在工作场所或家中适度使用瓶装水。多数居民把空水瓶丢弃在任何地方，只有少数受访者表示会在城市某些地点焚烧垃圾。访谈也表明，瓶装水消费者可能随处丢弃空瓶，只有少数人把空瓶放入废弃物收集容器。失控的垃圾对城市空气污染有巨大影响，说明阿姆博居民对环境缺乏关心。该城面临的主要问题是市政固体废弃物管理不当以及逆向物流活动不足。</w:t>
      </w:r>
    </w:p>
    <w:p>
      <w:pPr>
        <w:spacing w:line="269" w:lineRule="auto" w:after="100"/>
      </w:pPr>
      <w:r>
        <w:t>逆向物流系统和回收的长期收益，可以为发展中经济体的废弃物管理问题提供多种解决方案。把逆向物流纳入废弃物管理体系，可以减少填埋量、降低收集和能源成本、减少废弃物，并改善回收过程参与者的就业机会。证据表明，组织会检查并分拣废旧塑料瓶以便再利用；焚烧也是塑料废弃物管理的一种处置技术。</w:t>
      </w:r>
    </w:p>
    <w:p>
      <w:pPr>
        <w:spacing w:line="269" w:lineRule="auto" w:after="100"/>
      </w:pPr>
      <w:r>
        <w:t>为了最大限度恢复塑料废弃物管理系统，需要识别处理项目中的适当参与者。由于收集能力不足、缺少容器供应和非法倾倒，城市居民认为现行废弃物管理策略效率低下。非正规参与者在垃圾收集，尤其是可回收物收集方面发挥重要作用。阿姆博许多居民把垃圾非法丢弃在公共场所、河流和沟渠中。为了在发展中经济体中实现长期回收，应把非正规参与者纳入塑料废弃物回收和逆向物流网络。正式与非正式参与者加强合作，将有助于建设更可持续、更清洁的城市。</w:t>
      </w:r>
    </w:p>
    <w:p>
      <w:pPr>
        <w:spacing w:line="269" w:lineRule="auto" w:after="100"/>
      </w:pPr>
      <w:r>
        <w:t>访谈中的关键知情人表示，塑料瓶废弃物在阿姆博镇持续增加。缺少要求回收或退回塑料废弃物以便再制造或再利用的明确法规，是废弃物增长的原因之一。调查还显示，公众缺乏正确处置废弃物、尤其是废旧塑料瓶的知识。组织和个人在把社会责任作为采用逆向物流的驱动因素方面投入不足。瓶装水企业逆向物流的形成，依赖内部自愿行动与外部法律法规的共同作用。</w:t>
      </w:r>
    </w:p>
    <w:p>
      <w:pPr>
        <w:pStyle w:val="Heading1"/>
        <w:spacing w:before="180" w:after="80"/>
      </w:pPr>
      <w:r>
        <w:t>5 结论</w:t>
      </w:r>
    </w:p>
    <w:p>
      <w:pPr>
        <w:spacing w:line="269" w:lineRule="auto" w:after="100"/>
      </w:pPr>
      <w:r>
        <w:t>本研究考察了逆向物流在埃塞俄比亚废旧瓶装水废弃物管理回收中的作用。研究结论如下。</w:t>
      </w:r>
    </w:p>
    <w:p>
      <w:pPr>
        <w:spacing w:line="269" w:lineRule="auto" w:after="100"/>
      </w:pPr>
      <w:r>
        <w:t>关于废旧塑料瓶逆向物流活动的实施，多数瓶装水用户把空瓶丢弃在道路两侧、公共场所、河流和沟渠中。调查还显示，与再利用、回收和再制造相比，市政部门主要把焚烧作为处置废旧塑料瓶的常规活动，说明研究地区尚未充分实施逆向物流。因此，建议市政府推动公私合作，并利用印刷媒体和电子媒体，提高公众对废旧塑料瓶适当再利用、回收和再制造的认识。</w:t>
      </w:r>
    </w:p>
    <w:p>
      <w:pPr>
        <w:spacing w:line="269" w:lineRule="auto" w:after="100"/>
      </w:pPr>
      <w:r>
        <w:t>关于推动逆向物流的因素，企业在处置废旧塑料瓶时主要受到经济因素驱动，相比之下，社会责任和法规的作用较弱。政府参与塑料瓶处置的程度很低。实施逆向物流的主要挑战包括功能整合不足、财务约束、高层管理承诺不足、团队合作不良，以及与本地制造商、废旧瓶收集者和最终用户等供应链成员沟通不足。总体而言，塑料废弃物的大幅增加已经损害环境和健康；回收塑料比焚烧或填埋更环保，因此应采用系统、科学的塑料废弃物处置方式，通过逆向物流活动实施塑料回收，以保护环境和居民。</w:t>
      </w:r>
    </w:p>
    <w:p>
      <w:pPr>
        <w:pStyle w:val="Heading1"/>
        <w:spacing w:before="180" w:after="80"/>
      </w:pPr>
      <w:r>
        <w:t>6 局限与未来研究建议</w:t>
      </w:r>
    </w:p>
    <w:p>
      <w:pPr>
        <w:spacing w:line="269" w:lineRule="auto" w:after="100"/>
      </w:pPr>
      <w:r>
        <w:t>这些研究发现应谨慎解释。本研究存在若干局限。第一，研究变量是在同一时间测量的，属于横截面研究，可能需要进一步关注其他原因。未来研究应采用纵向设计，在较长时期内获得更准确、可量化的结果。第二，原研究总体和样本仅限于阿姆博大学学术员工及阿姆博市政府员工，纳入其他行业可能得到更有意义的结果。未来研究应扩大行业范围。最后，研究者旨在报告研究领域的现状，因此仅使用描述性统计工具来展示逆向物流过程的贡献；未来研究可以围绕可持续设计的受限物流系统，在当前研究框架基础上进一步开展。</w:t>
      </w:r>
    </w:p>
    <w:p>
      <w:pPr>
        <w:pStyle w:val="Heading1"/>
        <w:spacing w:before="180" w:after="80"/>
      </w:pPr>
      <w:r>
        <w:t>作者贡献与声明</w:t>
      </w:r>
    </w:p>
    <w:p>
      <w:pPr>
        <w:spacing w:line="269" w:lineRule="auto" w:after="100"/>
      </w:pPr>
      <w:r>
        <w:t>作者贡献：监督：C.B.I.；各阶段稿件意见：C.B.I.和A.D.；概念化：G.A.、A.A.和A.D.；研究设计：G.A.和A.A.；数据获取：A.A.；数据分析与解释：A.A.和G.A.；初稿撰写：A.A.和G.A.；最终审阅：C.B.I.和A.D.。所有作者均已阅读并同意发表版本。</w:t>
      </w:r>
    </w:p>
    <w:p>
      <w:pPr>
        <w:spacing w:line="269" w:lineRule="auto" w:after="100"/>
      </w:pPr>
      <w:r>
        <w:t>经费：本研究未获得外部经费。伦理审查声明：不适用。知情同意声明：不适用。数据可得性声明：不适用。致谢：感谢所有为本文完成作出贡献的人员，也感谢为本研究提供真实信息的受访者。利益冲突：作者声明不存在利益冲突。</w:t>
      </w:r>
    </w:p>
    <w:p>
      <w:pPr>
        <w:pStyle w:val="Heading1"/>
        <w:spacing w:before="180" w:after="80"/>
      </w:pPr>
      <w:r>
        <w:t>参考文献</w:t>
      </w:r>
    </w:p>
    <w:p>
      <w:pPr>
        <w:spacing w:line="269" w:lineRule="auto" w:after="100"/>
      </w:pPr>
      <w:r>
        <w:t>1. Govindan, K.; Soleimani, H.; Kannan, D. Reverse logistics and closed-loop supply chain: A comprehensive review to explore the future. Eur. J. Oper. Res. 2015, 240, 603–626.</w:t>
      </w:r>
    </w:p>
    <w:p>
      <w:pPr>
        <w:spacing w:line="269" w:lineRule="auto" w:after="100"/>
      </w:pPr>
      <w:r>
        <w:t>2. Vanalle, R.M.; Ganga, G.M.D.; Filho, M.G.; Lucato, W. Green supply chain management: An investigation of pressures, practices, and performance within the Brazilian automotive supply chain. J. Clean. Prod. 2017, 151, 250–259.</w:t>
      </w:r>
    </w:p>
    <w:p>
      <w:pPr>
        <w:spacing w:line="269" w:lineRule="auto" w:after="100"/>
      </w:pPr>
      <w:r>
        <w:t>3. Zhu, Q.; Geng, Y. Drivers and barriers of extended supply chain practices for energy saving and emission reduction among Chinese manufacturers. J. Clean. Prod. 2013, 40, 6–12.</w:t>
      </w:r>
    </w:p>
    <w:p>
      <w:pPr>
        <w:spacing w:line="269" w:lineRule="auto" w:after="100"/>
      </w:pPr>
      <w:r>
        <w:t>4. Abdullah, N.A.H.N.; Yaakub, S. The pressure for reverse logistics adoption among manufacturers in Malaysia. Asian J. Bus. Account. 2015, 8, 151–178.</w:t>
      </w:r>
    </w:p>
    <w:p>
      <w:pPr>
        <w:spacing w:line="269" w:lineRule="auto" w:after="100"/>
      </w:pPr>
      <w:r>
        <w:t>5. Saylor, A.; Prokopy, L.S.; Amberg, S. What’s Wrong with the Tap? Examining Perceptions of Tap Water and Bottled Water at Purdue University. Environ. Manag. 2011, 48, 588–601.</w:t>
      </w:r>
    </w:p>
    <w:p>
      <w:pPr>
        <w:spacing w:line="269" w:lineRule="auto" w:after="100"/>
      </w:pPr>
      <w:r>
        <w:t>6. Chilton, T.; Burnley, S.; Nesaratnam, S. A life cycle assessment of the closed-loop recycling and thermal recovery of post-consumer PET. Resour. Conserv. Recycl. 2010, 54, 1241–1249.</w:t>
      </w:r>
    </w:p>
    <w:p>
      <w:pPr>
        <w:spacing w:line="269" w:lineRule="auto" w:after="100"/>
      </w:pPr>
      <w:r>
        <w:t>7. Vachon, S.; Klassen, R.D. Supply chain management and environmental technologies: The role of integration. Int. J. Prod. Res. 2007, 45, 401–423.</w:t>
      </w:r>
    </w:p>
    <w:p>
      <w:pPr>
        <w:spacing w:line="269" w:lineRule="auto" w:after="100"/>
      </w:pPr>
      <w:r>
        <w:t>8. Rogers, D.S.; Tibben-Lembke, R. An examination of reverse logistics practices. J. Bus. Logist. 2001, 22, 129–148.</w:t>
      </w:r>
    </w:p>
    <w:p>
      <w:pPr>
        <w:spacing w:line="269" w:lineRule="auto" w:after="100"/>
      </w:pPr>
      <w:r>
        <w:t>9. Graczyk, M.; Witkowski, K. Reverse logistics processes in plastics supply chains. Total Logist. Manag. 2011, 4, 43–55.</w:t>
      </w:r>
    </w:p>
    <w:p>
      <w:pPr>
        <w:spacing w:line="269" w:lineRule="auto" w:after="100"/>
      </w:pPr>
      <w:r>
        <w:t>10. Dowlatshahi, S. A strategic framework for the design and implementation of remanufacturing operations in reverse logistics. Int. J. Prod. Res. 2005, 43, 3455–3480.</w:t>
      </w:r>
    </w:p>
    <w:p>
      <w:pPr>
        <w:spacing w:line="269" w:lineRule="auto" w:after="100"/>
      </w:pPr>
      <w:r>
        <w:t>11. Ilgin, M.A. The disassembly line: Balancing and modeling. Prod. Plan. Control 2011, 22, 723–724.</w:t>
      </w:r>
    </w:p>
    <w:p>
      <w:pPr>
        <w:spacing w:line="269" w:lineRule="auto" w:after="100"/>
      </w:pPr>
      <w:r>
        <w:t>12. Ashby, A.; Leat, M.; Hudson-Smith, M. Making connections: A review of supply chain management and sustainability literature. Supply Chain Manag. Int. J. 2012, 17, 497–516.</w:t>
      </w:r>
    </w:p>
    <w:p>
      <w:pPr>
        <w:spacing w:line="269" w:lineRule="auto" w:after="100"/>
      </w:pPr>
      <w:r>
        <w:t>13. Lau, K.H.; Wang, Y. Reverse logistics in the electronic industry of China: A case study. Supply Chain Manag. Int. J. 2009, 14, 447–465.</w:t>
      </w:r>
    </w:p>
    <w:p>
      <w:pPr>
        <w:spacing w:line="269" w:lineRule="auto" w:after="100"/>
      </w:pPr>
      <w:r>
        <w:t>14. Anne, M.; Nicholas, L.; Gicuru, I.; Bula, O. Reverse Logistics Practices and Their Effect on Competitiveness of Food Manufacturing Firms in Kenya. Int. J. Econ. Finance Manag. Sci. 2015, 3, 678.</w:t>
      </w:r>
    </w:p>
    <w:p>
      <w:pPr>
        <w:spacing w:line="269" w:lineRule="auto" w:after="100"/>
      </w:pPr>
      <w:r>
        <w:t>15. Kinobe, J.; Gebresenbet, G.; Niwagaba, C.; Vinneras, B. Reverse logistics system and recycling potential at a landfill: A case study from Kampala City. Waste Manag. 2015, 42, 82–92.</w:t>
      </w:r>
    </w:p>
    <w:p>
      <w:pPr>
        <w:spacing w:line="269" w:lineRule="auto" w:after="100"/>
      </w:pPr>
      <w:r>
        <w:t>16. Matter, A.; Dietschi, M.; Zurbrügg, C. Improving the informal recycling sector through segregation of waste in the household—The case of Dhaka Bangladesh. Habitat Int. 2013, 38, 150–156.</w:t>
      </w:r>
    </w:p>
    <w:p>
      <w:pPr>
        <w:spacing w:line="269" w:lineRule="auto" w:after="100"/>
      </w:pPr>
      <w:r>
        <w:t>17. Boryczko, B.; Hołda, A.; Kolenda, Z. Depletion of the non-renewable natural resource reserves in copper, zinc, lead and aluminium production. J. Clean. Prod. 2014, 84, 313–321.</w:t>
      </w:r>
    </w:p>
    <w:p>
      <w:pPr>
        <w:spacing w:line="269" w:lineRule="auto" w:after="100"/>
      </w:pPr>
      <w:r>
        <w:t>18. Huysman, S.; et al. The recyclability benefit rate of closed-loop and open-loop systems. Resour. Conserv. Recycl. 2015, 101, 53–60.</w:t>
      </w:r>
    </w:p>
    <w:p>
      <w:pPr>
        <w:spacing w:line="269" w:lineRule="auto" w:after="100"/>
      </w:pPr>
      <w:r>
        <w:t>19. Nnorom, I.; Osibanjo, O. Overview of electronic waste management practices and legislations. Resour. Conserv. Recycl. 2008, 52, 843–858.</w:t>
      </w:r>
    </w:p>
    <w:p>
      <w:pPr>
        <w:spacing w:line="269" w:lineRule="auto" w:after="100"/>
      </w:pPr>
      <w:r>
        <w:t>20. Van Seters, D.A.; Richard, H.G. Journal of Organizational Change Management. 1990, 3, 349–361.</w:t>
      </w:r>
    </w:p>
    <w:p>
      <w:pPr>
        <w:spacing w:line="269" w:lineRule="auto" w:after="100"/>
      </w:pPr>
      <w:r>
        <w:t>21. Thierry, M.; Salomon, M.; Van Nunen, J.; Van Wassenhove, L. Strategic Issues in Product Recovery Management. Calif. Manag. Rev. 1995, 37, 114–136.</w:t>
      </w:r>
    </w:p>
    <w:p>
      <w:pPr>
        <w:spacing w:line="269" w:lineRule="auto" w:after="100"/>
      </w:pPr>
      <w:r>
        <w:t>22. Seles, B.M.R.P.; Jabbour, A.B.L.D.S.; Jabbour, C.J.C.; Dangelico, R.M. The green bullwhip effect, the diffusion of green supply chain practices, and institutional pressures. Int. J. Prod. Econ. 2016, 182, 342–355.</w:t>
      </w:r>
    </w:p>
    <w:p>
      <w:pPr>
        <w:spacing w:line="269" w:lineRule="auto" w:after="100"/>
      </w:pPr>
      <w:r>
        <w:t>23. Amemba, C.S. Green Supply Chain Best Practices in Hospitality Industry. Glob. J. Commer. Manag. Perspect. 2013, 2, 7–18.</w:t>
      </w:r>
    </w:p>
    <w:p>
      <w:pPr>
        <w:spacing w:line="269" w:lineRule="auto" w:after="100"/>
      </w:pPr>
      <w:r>
        <w:t>24. U-Dominic, C.M.; Orji, I.J.; Okwu, M. Analyzing the Barriers to Reverse Logistics Implementation. Sustainability 2021, 13, 10876.</w:t>
      </w:r>
    </w:p>
    <w:p>
      <w:pPr>
        <w:spacing w:line="269" w:lineRule="auto" w:after="100"/>
      </w:pPr>
      <w:r>
        <w:t>25. Fikru, B. Analysis of Reverse Logistics Practice of Water and Soft Drink Plastic Bottle Companies in Addis Ababa. Ph.D. Thesis, St. Mary’s University, 2020.</w:t>
      </w:r>
    </w:p>
    <w:p>
      <w:pPr>
        <w:spacing w:line="269" w:lineRule="auto" w:after="100"/>
      </w:pPr>
      <w:r>
        <w:t>26. Ebenezer, A.; Sun, Z. Reverse logistics and performance of bottled and sachet water manufacturing firms in Ghana. IOSR J. Bus. Manag. 2019, 21, 39–49.</w:t>
      </w:r>
    </w:p>
    <w:p>
      <w:pPr>
        <w:spacing w:line="269" w:lineRule="auto" w:after="100"/>
      </w:pPr>
      <w:r>
        <w:t>27. Joshi, C.; Seay, J.; Banadda, N. A perspective on a locally managed decentralized circular economy for waste plastic in developing countries. Environ. Prog. Sustain. Energy 2019, 38, 3–11.</w:t>
      </w:r>
    </w:p>
    <w:p>
      <w:pPr>
        <w:spacing w:line="269" w:lineRule="auto" w:after="100"/>
      </w:pPr>
      <w:r>
        <w:t>28. Matiwos, E. Trends in bottled water use survey in Addis Ababa. Int. J. Sci. Res. 2014, 3, 9.</w:t>
      </w:r>
    </w:p>
    <w:p>
      <w:pPr>
        <w:spacing w:line="269" w:lineRule="auto" w:after="100"/>
      </w:pPr>
      <w:r>
        <w:t>29. Regassa, N.; Sundaraa, R.D.; Seboka, B.B. Challenges and Opportunities in Municipal Solid Waste Management. J. Hum. Ecol. 2011, 33, 179–190.</w:t>
      </w:r>
    </w:p>
    <w:p>
      <w:pPr>
        <w:spacing w:line="269" w:lineRule="auto" w:after="100"/>
      </w:pPr>
      <w:r>
        <w:t>30. European Parliament and Council. Directive 2008/98/EC on Waste. Luxembourg, 2008, pp. 3–30.</w:t>
      </w:r>
    </w:p>
    <w:p>
      <w:pPr>
        <w:spacing w:line="269" w:lineRule="auto" w:after="100"/>
      </w:pPr>
      <w:r>
        <w:t>31. Nabavi-Pelesaraei, A.; et al. Modeling of energy consumption and environmental life cycle assessment for incineration and landfill systems. J. Clean. Prod. 2017, 148, 427–440.</w:t>
      </w:r>
    </w:p>
    <w:p>
      <w:pPr>
        <w:spacing w:line="269" w:lineRule="auto" w:after="100"/>
      </w:pPr>
      <w:r>
        <w:t>32. Tesfaye, W.; Daniel, K. Conceptualizing reverse logistics to plastics recycling system. Soc. Responsib. J. 2020, 17, 686–702.</w:t>
      </w:r>
    </w:p>
    <w:p>
      <w:pPr>
        <w:spacing w:line="269" w:lineRule="auto" w:after="100"/>
      </w:pPr>
      <w:r>
        <w:t>33. Crippa, M.; et al. Fossil CO2 and GHG Emissions of All World Countries. Publication Office of the European Union, 2019.</w:t>
      </w:r>
    </w:p>
    <w:p>
      <w:pPr>
        <w:spacing w:line="269" w:lineRule="auto" w:after="100"/>
      </w:pPr>
      <w:r>
        <w:t>34. Nabavi-Pelesaraei, A.; et al. Prognostication of energy use and environmental impacts for recycle system. J. Clean. Prod. 2017, 154, 602–613.</w:t>
      </w:r>
    </w:p>
    <w:p>
      <w:pPr>
        <w:spacing w:line="269" w:lineRule="auto" w:after="100"/>
      </w:pPr>
      <w:r>
        <w:t>35. De Oliveira, C.T.; Luna, M.M.; Campos, L.M. Understanding the Brazilian expanded polystyrene supply chain. J. Clean. Prod. 2019, 235, 562–573.</w:t>
      </w:r>
    </w:p>
    <w:p>
      <w:pPr>
        <w:spacing w:line="269" w:lineRule="auto" w:after="100"/>
      </w:pPr>
      <w:r>
        <w:t>36. Wang, H.; Zhang, Y.; Wang, C. Surface modification and selective flotation of waste plastics. Sep. Purif. Technol. 2019, 226, 75–94.</w:t>
      </w:r>
    </w:p>
    <w:p>
      <w:pPr>
        <w:spacing w:line="269" w:lineRule="auto" w:after="100"/>
      </w:pPr>
      <w:r>
        <w:t>37. Wang, C.; Sun, R.; Huang, R.; Wang, H. Superior fenton-like degradation of tetracycline by iron loaded graphitic carbon. Sep. Purif. Technol. 2021, 270, 118773.</w:t>
      </w:r>
    </w:p>
    <w:p>
      <w:pPr>
        <w:spacing w:line="269" w:lineRule="auto" w:after="100"/>
      </w:pPr>
      <w:r>
        <w:t>38. Plakas, G.; Ponis, S.; Agalianos, K.; Aretoulaki, E. Reverse Logistics of End-of-Life Plastics Using Industrial IoT and LPWAN Technologies. Procedia Manuf. 2020, 51, 1680–1687.</w:t>
      </w:r>
    </w:p>
    <w:p>
      <w:pPr>
        <w:spacing w:line="269" w:lineRule="auto" w:after="100"/>
      </w:pPr>
      <w:r>
        <w:t>39. Darnall, N.; Jolley, G.J.; Handfield, R. Environmental management systems and green supply chain management. Bus. Strat. Environ. 2006, 17, 30–45.</w:t>
      </w:r>
    </w:p>
    <w:p>
      <w:pPr>
        <w:spacing w:line="269" w:lineRule="auto" w:after="100"/>
      </w:pPr>
      <w:r>
        <w:t>40. Laosirihongthong, T.; Adebanjo, D.; Tan, K.C. Green supply chain management practices and performance. Ind. Manag. Data Syst. 2013, 113, 1088–1109.</w:t>
      </w:r>
    </w:p>
    <w:p>
      <w:pPr>
        <w:spacing w:line="269" w:lineRule="auto" w:after="100"/>
      </w:pPr>
      <w:r>
        <w:t>41. Adebambo, O.; Adebayo, I.T. Empirical Study of the Effect of Reverse Logistics Objectives on Economic Performance. Int. Rev. Manag. Bus. Res. 2014, 3, 1484–1494.</w:t>
      </w:r>
    </w:p>
    <w:p>
      <w:pPr>
        <w:spacing w:line="269" w:lineRule="auto" w:after="100"/>
      </w:pPr>
      <w:r>
        <w:t>42. Hagos, D.; Mekonnen, A.; Gebreegziabher, Z. Households willingness to pay for improved urban solid waste management. Ethiop. J. Econ. 2013, 22, 107–138.</w:t>
      </w:r>
    </w:p>
    <w:p>
      <w:pPr>
        <w:spacing w:line="269" w:lineRule="auto" w:after="100"/>
      </w:pPr>
      <w:r>
        <w:t>43. Kassaye, A.Y. Contemporary institutional solid waste management practices of Haramaya University. Afr. J. Sci. Technol. Innov. Dev. 2018, 10, 219–238.</w:t>
      </w:r>
    </w:p>
    <w:p>
      <w:pPr>
        <w:spacing w:line="269" w:lineRule="auto" w:after="100"/>
      </w:pPr>
      <w:r>
        <w:t>44. Azevedo, S.G.; Carvalho, H.; Machado, V.C. The influence of green practices on supply chain performance. Transp. Res. Part E 2011, 47, 850–871.</w:t>
      </w:r>
    </w:p>
    <w:p>
      <w:pPr>
        <w:spacing w:line="269" w:lineRule="auto" w:after="100"/>
      </w:pPr>
      <w:r>
        <w:t>45. Gobena, W.T.; Azene, D.K. Adoption of reverse logistics to waste plastic recycling. Int. J. Sustain. Soc. 2022, 14, 43–76.</w:t>
      </w:r>
    </w:p>
    <w:p>
      <w:pPr>
        <w:spacing w:line="269" w:lineRule="auto" w:after="100"/>
      </w:pPr>
      <w:r>
        <w:t>46. Nabavi-Pelesaraei, A.; et al. Principal of environmental life cycle assessment for medical waste during COVID-19. Sci. Total Environ. 2022, 827, 154416.</w:t>
      </w:r>
    </w:p>
    <w:p>
      <w:pPr>
        <w:spacing w:line="269" w:lineRule="auto" w:after="100"/>
      </w:pPr>
      <w:r>
        <w:t>47. Hossain, R.; et al. Plastic waste management in India. Sustainability 2022, 14, 4425.</w:t>
      </w:r>
    </w:p>
    <w:p>
      <w:pPr>
        <w:spacing w:line="269" w:lineRule="auto" w:after="100"/>
      </w:pPr>
      <w:r>
        <w:t>48. Sun, Y.; et al. China’s roadmap to plastic waste management and associated economic costs. J. Environ. Manag. 2022, 309, 114686.</w:t>
      </w:r>
    </w:p>
    <w:p>
      <w:pPr>
        <w:spacing w:line="269" w:lineRule="auto" w:after="100"/>
      </w:pPr>
      <w:r>
        <w:t>49. Lahane, S.; Kant, R. Investigating the sustainable development goals derived due to adoption of circular economy practices. Waste Manag. 2022, 143, 1–14.</w:t>
      </w:r>
    </w:p>
    <w:p>
      <w:pPr>
        <w:spacing w:line="269" w:lineRule="auto" w:after="100"/>
      </w:pPr>
      <w:r>
        <w:t>50. Kothari, C.R. Research Methodology: Methods and Techniques. New Age International, 2004.</w:t>
      </w:r>
    </w:p>
    <w:p>
      <w:pPr>
        <w:spacing w:line="269" w:lineRule="auto" w:after="100"/>
      </w:pPr>
      <w:r>
        <w:t>51. Yamane, T. Elementary Sampling Theory. Prentice-Hall, 1967.</w:t>
      </w:r>
    </w:p>
    <w:p>
      <w:pPr>
        <w:spacing w:line="269" w:lineRule="auto" w:after="100"/>
      </w:pPr>
      <w:r>
        <w:t>52. Kumar, S.C.; Kothari, H. Pilot test for reliability and validity of the study on training effectiveness. Splint Int. J. Prof. 2018, 5, 33–44.</w:t>
      </w:r>
    </w:p>
    <w:p>
      <w:pPr>
        <w:spacing w:line="269" w:lineRule="auto" w:after="100"/>
      </w:pPr>
      <w:r>
        <w:t>53. Field, A. Discovering Statistics Using SPSS. SAGE Publications, 2009.</w:t>
      </w:r>
    </w:p>
    <w:p>
      <w:pPr>
        <w:spacing w:line="269" w:lineRule="auto" w:after="100"/>
      </w:pPr>
      <w:r>
        <w:t>54. Pihie Lope, Z.A.; Akmaliah, Z. Entrepreneurship as a career choice. Eur. J. Soc. Sci. 2009, 9, 338–349.</w:t>
      </w:r>
    </w:p>
    <w:p>
      <w:pPr>
        <w:spacing w:line="269" w:lineRule="auto" w:after="100"/>
      </w:pPr>
      <w:r>
        <w:t>55. Badenhorst, A.; Nel, J.D. Identifying potential solutions for specific reverse logistics problems. J. Transp. Supply Chain Manag. 2012, 6, 73–90.</w:t>
      </w:r>
    </w:p>
    <w:p>
      <w:pPr>
        <w:spacing w:line="269" w:lineRule="auto" w:after="100"/>
      </w:pPr>
      <w:r>
        <w:t>56. Bras, B.; McIntosh, M.W. Product, process, and organizational design for remanufacturing. Robot. Comput.-Integr. Manuf. 1999, 15, 167–178.</w:t>
      </w:r>
    </w:p>
    <w:p>
      <w:pPr>
        <w:spacing w:line="269" w:lineRule="auto" w:after="100"/>
      </w:pPr>
      <w:r>
        <w:t>57. De Brito, M.P.; Dekker, R. Modelling product returns in inventory control. Int. J. Prod. Econ. 2003, 81, 225–241.</w:t>
      </w:r>
    </w:p>
    <w:p>
      <w:pPr>
        <w:spacing w:line="269" w:lineRule="auto" w:after="100"/>
      </w:pPr>
      <w:r>
        <w:t>58. Gonzalez-Torre, P.L.; Adenso-Diaz, B.; Artiba, H. Environmental and reverse logistics policies in European bottling and packaging firms. Int. J. Prod. Econ. 2004, 88, 95–104.</w:t>
      </w:r>
    </w:p>
    <w:p>
      <w:pPr>
        <w:spacing w:line="269" w:lineRule="auto" w:after="100"/>
      </w:pPr>
      <w:r>
        <w:t>59. Zatrochová, M.; Kuperová, M.; Golej, J. Analysis of the Principles of Reverse Logistics in Waste Management. Acta Logistica 2021, 8, 95–106.</w:t>
      </w:r>
    </w:p>
    <w:p>
      <w:pPr>
        <w:spacing w:line="269" w:lineRule="auto" w:after="100"/>
      </w:pPr>
      <w:r>
        <w:t>60. Vargas, M.; et al. Reverse Logistics for Solid Waste from the Construction Industry. Adv. Civ. Eng. 2021, 2021, 6654718.</w:t>
      </w:r>
    </w:p>
    <w:p>
      <w:pPr>
        <w:spacing w:line="269" w:lineRule="auto" w:after="100"/>
      </w:pPr>
      <w:r>
        <w:t>61. Brandão, R.; et al. Public administration strategies that stimulate reverse logistics. Eng. Constr. Arch. Manag. 2021.</w:t>
      </w:r>
    </w:p>
    <w:p>
      <w:pPr>
        <w:spacing w:line="269" w:lineRule="auto" w:after="100"/>
      </w:pPr>
      <w:r>
        <w:t>62. Akdoğan, M.; Coşkun, A. Drivers of Reverse Logistics Activities. Procedia Soc. Behav. Sci. 2012, 58, 1640–1649.</w:t>
      </w:r>
    </w:p>
    <w:p>
      <w:pPr>
        <w:spacing w:line="269" w:lineRule="auto" w:after="100"/>
      </w:pPr>
      <w:r>
        <w:t>63. Guide, V., Jr.; Daniel, R.; Van Wassenhove, L.N. Managing product returns for remanufacturing. Prod. Oper. Manag. 2001, 10, 142–155.</w:t>
      </w:r>
    </w:p>
    <w:p>
      <w:pPr>
        <w:spacing w:line="269" w:lineRule="auto" w:after="100"/>
      </w:pPr>
      <w:r>
        <w:t>64. Mwanza, B.G.; Mbohwa, C.; Telukdarie, A. The significance of reverse logistics to plastic solid waste recycling in developing economies. IEOM Conference, Bogota, 2017, pp. 1013–1019.</w:t>
      </w:r>
    </w:p>
    <w:p>
      <w:pPr>
        <w:spacing w:line="269" w:lineRule="auto" w:after="100"/>
      </w:pPr>
      <w:r>
        <w:t>65. Sellitto, M. Reverse logistics activities in three companies of the process industry. J. Clean. Prod. 2018, 187, 923–931.</w:t>
      </w:r>
    </w:p>
    <w:p>
      <w:pPr>
        <w:spacing w:line="269" w:lineRule="auto" w:after="100"/>
      </w:pPr>
      <w:r>
        <w:t>66. Kumar, S.; Putnam, V. Cradle to cradle: Reverse logistics strategies and opportunities. Int. J. Prod. Econ. 2008, 115, 305–315.</w:t>
      </w:r>
    </w:p>
    <w:p>
      <w:pPr>
        <w:spacing w:line="269" w:lineRule="auto" w:after="100"/>
      </w:pPr>
      <w:r>
        <w:t>67. Ali, A.H.; et al. The Role of Sustainability in Reverse Logistics for Returns and Recycling. Arch. Bus. Res. 2018, 6, 12–33.</w:t>
      </w:r>
    </w:p>
    <w:p>
      <w:pPr>
        <w:spacing w:line="269" w:lineRule="auto" w:after="100"/>
      </w:pPr>
      <w:r>
        <w:t>68. Panigrahi, S.K.; et al. A Strategic Initiative for Successful Reverse Logistics Management in Retail Industry. Glob. Bus. Rev. 2018, 19, S151–S175.</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中文译文｜Sustainability 2022, 14, 7650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