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u w:val="none"/>
        </w:rPr>
        <w:t>两周以内短线股票审查模板</w:t>
      </w:r>
    </w:p>
    <w:p>
      <w:r>
        <w:t>适用于沪深主板技术筛选后的候选股票　更新日期 2026年10月29日</w:t>
      </w:r>
    </w:p>
    <w:p>
      <w:r>
        <w:t>本模板用于让AI判断候选股票在当前价格是否适合买入。持有期限为买入后两周以内，可以提前止盈；分析需要同时评估趋势持续性、近期催化和买入位置。筛选通过只代表进入候选池。</w:t>
      </w:r>
    </w:p>
    <w:p>
      <w:pPr>
        <w:pStyle w:val="Heading1"/>
      </w:pPr>
      <w:r>
        <w:t>使用方式</w:t>
      </w:r>
    </w:p>
    <w:p>
      <w:r>
        <w:t>新建对话后，复制第2页至第3页的全部指令，并附上最新筛选截图或股票代码。每次补充截图时间、是否已经持仓、成本价，以及单笔可以接受的最大亏损。没有提供的信息由AI明确标注，不应擅自假设。</w:t>
      </w:r>
    </w:p>
    <w:p>
      <w:pPr>
        <w:pStyle w:val="Heading1"/>
      </w:pPr>
      <w:r>
        <w:t>六个审查维度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969"/>
        <w:gridCol w:w="4195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24374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243746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核查内容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243746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判断用途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市场环境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指数、涨跌家数、成交额、涨停跌停及近期走势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判断整体赚钱环境；单日下跌不等于持续下跌趋势。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3F5F7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板块题材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3F5F7"/>
          </w:tcPr>
          <w:p>
            <w:pPr>
              <w:spacing w:after="0" w:line="264" w:lineRule="auto"/>
            </w:pPr>
            <w:r>
              <w:rPr>
                <w:sz w:val="19"/>
              </w:rPr>
              <w:t>板块相对强弱、上涨广度、政策新变化、题材持续性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3F5F7"/>
          </w:tcPr>
          <w:p>
            <w:pPr>
              <w:spacing w:after="0" w:line="264" w:lineRule="auto"/>
            </w:pPr>
            <w:r>
              <w:rPr>
                <w:sz w:val="19"/>
              </w:rPr>
              <w:t>判断个股是否有板块支持，以及催化是否可能延续。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技术量价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5日、10日、20日均线、近阶段高低点、成交量、换手和突破承接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判断当前买入位置；防止累计涨幅掩盖此前的大涨大跌。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3F5F7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公告与业绩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3F5F7"/>
          </w:tcPr>
          <w:p>
            <w:pPr>
              <w:spacing w:after="0" w:line="264" w:lineRule="auto"/>
            </w:pPr>
            <w:r>
              <w:rPr>
                <w:sz w:val="19"/>
              </w:rPr>
              <w:t>最新财报、订单、回购减持、监管事项和两周内重要事件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3F5F7"/>
          </w:tcPr>
          <w:p>
            <w:pPr>
              <w:spacing w:after="0" w:line="264" w:lineRule="auto"/>
            </w:pPr>
            <w:r>
              <w:rPr>
                <w:sz w:val="19"/>
              </w:rPr>
              <w:t>区分已经兑现的消息、潜在催化和持有期间的事件风险。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资金与龙虎榜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板块与个股资金估算、公开龙虎榜、机构席位买卖日期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仅作辅助验证；不能推断真实持仓和未来股价。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3F5F7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交易风险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3F5F7"/>
          </w:tcPr>
          <w:p>
            <w:pPr>
              <w:spacing w:after="0" w:line="264" w:lineRule="auto"/>
            </w:pPr>
            <w:r>
              <w:rPr>
                <w:sz w:val="19"/>
              </w:rPr>
              <w:t>买入逻辑、失效条件、隔夜风险、退出安排与持有期限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3F5F7"/>
          </w:tcPr>
          <w:p>
            <w:pPr>
              <w:spacing w:after="0" w:line="264" w:lineRule="auto"/>
            </w:pPr>
            <w:r>
              <w:rPr>
                <w:sz w:val="19"/>
              </w:rPr>
              <w:t>判断潜在机会是否值得承担损失；两周不是必须拿满。</w:t>
            </w:r>
          </w:p>
        </w:tc>
      </w:tr>
    </w:tbl>
    <w:p>
      <w:pPr>
        <w:pStyle w:val="Heading1"/>
      </w:pPr>
      <w:r>
        <w:t>两周期限下的判断变化</w:t>
      </w:r>
    </w:p>
    <w:p>
      <w:r>
        <w:t>分析重点从下一两个交易日的强弱，扩展到约两周内趋势和催化的持续性。盘中冲高回落应影响入场时机，但不能单独否定整个两周交易逻辑；持有期限变长，也不意味着可以忽略破位或不断延长亏损持仓。</w:t>
      </w:r>
    </w:p>
    <w:p>
      <w:r>
        <w:rPr>
          <w:sz w:val="20"/>
        </w:rPr>
        <w:t>下列筛选参数尚未回测验证。AI的主观排序不等于已验证的胜率或收益承诺。</w:t>
      </w:r>
    </w:p>
    <w:p>
      <w:r>
        <w:br w:type="page"/>
      </w:r>
    </w:p>
    <w:p>
      <w:pPr>
        <w:pStyle w:val="Heading1"/>
      </w:pPr>
      <w:r>
        <w:t>可复制的股票审查指令</w:t>
      </w:r>
    </w:p>
    <w:p>
      <w:r>
        <w:t>请帮我审查附件中的A股候选股票，逐只判断当前是否适合买入。</w:t>
      </w:r>
    </w:p>
    <w:p>
      <w:pPr>
        <w:pStyle w:val="Heading2"/>
      </w:pPr>
      <w:r>
        <w:t>我的交易目标</w:t>
      </w:r>
    </w:p>
    <w:p>
      <w:r>
        <w:t>我做短线，买入后最长持有两周以内，即14个自然日以内；通常约10个交易日，遇休市按实际可交易日说明，不擅自延长。盈利可以提前卖出，不要求持有满两周；买入逻辑失效时应评估退出，不因为被套改成长线持有。</w:t>
      </w:r>
    </w:p>
    <w:p>
      <w:r>
        <w:t>请判断当前价格是否值得买入，同时区分公司质量、两周内的交易机会和当天入场时机。基于当前可得信息分析，不要一律让我等尾盘。</w:t>
      </w:r>
    </w:p>
    <w:p>
      <w:pPr>
        <w:pStyle w:val="Heading2"/>
      </w:pPr>
      <w:r>
        <w:t>我的筛选策略</w:t>
      </w:r>
    </w:p>
    <w:p>
      <w:pPr>
        <w:spacing w:after="20" w:line="259" w:lineRule="auto"/>
      </w:pPr>
      <w:r>
        <w:t>沪深主板；</w:t>
      </w:r>
    </w:p>
    <w:p>
      <w:pPr>
        <w:spacing w:after="20" w:line="259" w:lineRule="auto"/>
      </w:pPr>
      <w:r>
        <w:t>非ST股；非退市股；非停牌股；</w:t>
      </w:r>
    </w:p>
    <w:p>
      <w:pPr>
        <w:spacing w:after="20" w:line="259" w:lineRule="auto"/>
      </w:pPr>
      <w:r>
        <w:t>上市超过120个交易日；</w:t>
      </w:r>
    </w:p>
    <w:p>
      <w:pPr>
        <w:spacing w:after="20" w:line="259" w:lineRule="auto"/>
      </w:pPr>
      <w:r>
        <w:t>昨日成交额大于2亿元；</w:t>
      </w:r>
    </w:p>
    <w:p>
      <w:pPr>
        <w:spacing w:after="20" w:line="259" w:lineRule="auto"/>
      </w:pPr>
      <w:r>
        <w:t>昨日涨幅大于1%；</w:t>
      </w:r>
    </w:p>
    <w:p>
      <w:pPr>
        <w:spacing w:after="20" w:line="259" w:lineRule="auto"/>
      </w:pPr>
      <w:r>
        <w:t>昨日收盘价大于昨日开盘价；</w:t>
      </w:r>
    </w:p>
    <w:p>
      <w:pPr>
        <w:spacing w:after="20" w:line="259" w:lineRule="auto"/>
      </w:pPr>
      <w:r>
        <w:t>截至昨日，近5个交易日累计涨幅小于20%；</w:t>
      </w:r>
    </w:p>
    <w:p>
      <w:pPr>
        <w:spacing w:after="20" w:line="259" w:lineRule="auto"/>
      </w:pPr>
      <w:r>
        <w:t>截至昨日，近20个交易日累计涨幅小于30%；</w:t>
      </w:r>
    </w:p>
    <w:p>
      <w:pPr>
        <w:spacing w:after="20" w:line="259" w:lineRule="auto"/>
      </w:pPr>
      <w:r>
        <w:t>昨日5日均线大于昨日10日均线；</w:t>
      </w:r>
    </w:p>
    <w:p>
      <w:pPr>
        <w:spacing w:after="20" w:line="259" w:lineRule="auto"/>
      </w:pPr>
      <w:r>
        <w:t>当前价大于昨日5日均线；</w:t>
      </w:r>
    </w:p>
    <w:p>
      <w:pPr>
        <w:spacing w:after="20" w:line="259" w:lineRule="auto"/>
      </w:pPr>
      <w:r>
        <w:t>当前价不高于昨日5日均线的1.08倍；</w:t>
      </w:r>
    </w:p>
    <w:p>
      <w:pPr>
        <w:spacing w:after="20" w:line="259" w:lineRule="auto"/>
      </w:pPr>
      <w:r>
        <w:t>当前价大于今日开盘价；</w:t>
      </w:r>
    </w:p>
    <w:p>
      <w:pPr>
        <w:spacing w:after="20" w:line="259" w:lineRule="auto"/>
      </w:pPr>
      <w:r>
        <w:t>今日涨幅介于1%至6%；</w:t>
      </w:r>
    </w:p>
    <w:p>
      <w:pPr>
        <w:spacing w:after="20" w:line="259" w:lineRule="auto"/>
      </w:pPr>
      <w:r>
        <w:t>今日涨幅由高到低排列。</w:t>
      </w:r>
    </w:p>
    <w:p>
      <w:r>
        <w:rPr>
          <w:sz w:val="20"/>
        </w:rPr>
        <w:t>这些参数尚未经过回测，不默认策略已有稳定盈利能力。涨幅排序只是展示顺序，不代表买入优先级。</w:t>
      </w:r>
    </w:p>
    <w:p>
      <w:pPr>
        <w:pStyle w:val="Heading2"/>
      </w:pPr>
      <w:r>
        <w:t>审查内容</w:t>
      </w:r>
    </w:p>
    <w:p>
      <w:pPr>
        <w:spacing w:after="80"/>
      </w:pPr>
      <w:r>
        <w:t>1. 市场与板块：核查市场情绪、指数近期趋势、板块相对强弱和上涨广度；区分单日下跌与持续弱势。</w:t>
      </w:r>
    </w:p>
    <w:p>
      <w:pPr>
        <w:spacing w:after="80"/>
      </w:pPr>
      <w:r>
        <w:t>2. 技术与量价：结合5日、10日、20日均线、近期高低点、成交量、换手和突破承接，判断两周内趋势及当天买点。特别检查累计涨幅不高是否源于此前大涨后大跌。</w:t>
      </w:r>
    </w:p>
    <w:p>
      <w:pPr>
        <w:spacing w:after="80"/>
      </w:pPr>
      <w:r>
        <w:t>3. 催化与事件：核查最新公告、财报、订单、回购减持、监管事项，并列出未来两周已公告或已预约的重要事件。</w:t>
      </w:r>
    </w:p>
    <w:p>
      <w:pPr>
        <w:spacing w:after="80"/>
      </w:pPr>
      <w:r>
        <w:t>4. 资金与风险：核查可取得的板块和个股资金估算、历史龙虎榜；说明买入理由、主要反对理由、逻辑失效条件及退出安排。</w:t>
      </w:r>
    </w:p>
    <w:p>
      <w:r>
        <w:br w:type="page"/>
      </w:r>
    </w:p>
    <w:p>
      <w:pPr>
        <w:pStyle w:val="Heading1"/>
      </w:pPr>
      <w:r>
        <w:t>审查指令续页</w:t>
      </w:r>
    </w:p>
    <w:p>
      <w:pPr>
        <w:pStyle w:val="Heading2"/>
      </w:pPr>
      <w:r>
        <w:t>证据要求</w:t>
      </w:r>
    </w:p>
    <w:p>
      <w:r>
        <w:t>1. 联网核实，注明行情日期、时间和数据来源。优先使用交易所、公司公告、政府文件及可靠行情来源。无法取得实时数据时明确说明，不用旧数据冒充当前行情。</w:t>
      </w:r>
    </w:p>
    <w:p>
      <w:r>
        <w:t>2. 区分已确认事实、分析推断和无法核实的信息。新闻注明发布时间，财报注明报告期，研报注明发布日期和预测期限；长期盈利预测不能直接当作两周涨幅依据。</w:t>
      </w:r>
    </w:p>
    <w:p>
      <w:r>
        <w:t>3. 资金净流入是统计估算，不代表真实机构身份。不能根据营业部名称直接认定某位游资正在买入或仍在持仓；龙虎榜须说明交易日期及单日或多日统计口径。</w:t>
      </w:r>
    </w:p>
    <w:p>
      <w:r>
        <w:t>4. 近5日与近20日累计涨幅使用一致复权口径，并明确起止交易日。口径与平台筛选不一致时说明差异，不直接认定平台错误。</w:t>
      </w:r>
    </w:p>
    <w:p>
      <w:pPr>
        <w:pStyle w:val="Heading2"/>
      </w:pPr>
      <w:r>
        <w:t>判断要求</w:t>
      </w:r>
    </w:p>
    <w:p>
      <w:r>
        <w:t>1. 筛选通过只代表进入候选池，不自动代表买点成立。板块下跌、估值高、某一时刻资金净流出不能单独作为否决理由。</w:t>
      </w:r>
    </w:p>
    <w:p>
      <w:r>
        <w:t>2. 盘中一次冲高回落应影响入场时机，但不能单独否定两周交易逻辑。更重视趋势是否持续、催化是否新鲜，以及当前买入需要承担的风险。</w:t>
      </w:r>
    </w:p>
    <w:p>
      <w:r>
        <w:t>3. 不为了给出推荐而降低证据要求，也不因为候选数量少就立即建议继续放宽参数。持有期限延长不等于提高风险承受能力。</w:t>
      </w:r>
    </w:p>
    <w:p>
      <w:r>
        <w:t>4. 不编造胜率、目标收益、确定性买点或保证有效的支撑位。缺少持仓、成本或亏损预算时标明缺失，不擅自给出重仓建议。</w:t>
      </w:r>
    </w:p>
    <w:p>
      <w:pPr>
        <w:pStyle w:val="Heading2"/>
      </w:pPr>
      <w:r>
        <w:t>输出格式</w:t>
      </w:r>
    </w:p>
    <w:p>
      <w:r>
        <w:t>先给出比较表：股票、行情时间与价格、两周交易逻辑、当前入场判断、主要优势、主要风险。</w:t>
      </w:r>
    </w:p>
    <w:p>
      <w:r>
        <w:t>当前结论分为：优先考虑买入、可小仓试错、继续观察、暂不买入。明确区分“值得关注但当前价格一般”和“当前即可考虑参与”。</w:t>
      </w:r>
    </w:p>
    <w:p>
      <w:r>
        <w:t>然后逐只说明：①核心买入理由；②最重要的反对理由；③未来两周的已知催化与风险事件；④逻辑失效条件及退出思路；⑤证据是否充分、哪些信息仍缺失。</w:t>
      </w:r>
    </w:p>
    <w:p>
      <w:r>
        <w:t>最后给出相对优先级和排序理由。如果没有达到优先推荐标准的股票，直接说没有，并说明主要受市场环境、个股位置还是证据不足影响。</w:t>
      </w:r>
    </w:p>
    <w:p>
      <w:r>
        <w:t>退出安排应包含逻辑失效、盈利后的处理方式和时间上限。不得默认必须持有满两周；涉及T+1、跳空及涨跌停时，说明计划价格可能无法成交。</w:t>
      </w:r>
    </w:p>
    <w:p>
      <w:pPr>
        <w:pStyle w:val="Heading2"/>
      </w:pPr>
      <w:r>
        <w:t>我本次补充的信息</w:t>
      </w:r>
    </w:p>
    <w:p>
      <w:r>
        <w:t>截图或行情时间：________　是否持仓：________</w:t>
        <w:br/>
        <w:t>持仓成本：________　单笔最大可接受亏损：________</w:t>
      </w:r>
    </w:p>
    <w:sectPr w:rsidR="00FC693F" w:rsidRPr="0006063C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iti SC" w:hAnsi="Heiti SC" w:eastAsia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Heiti SC" w:hAnsi="Heiti SC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78" w:lineRule="auto"/>
      <w:outlineLvl w:val="0"/>
    </w:pPr>
    <w:rPr>
      <w:rFonts w:ascii="Heiti SC" w:hAnsi="Heiti SC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78" w:lineRule="auto"/>
      <w:outlineLvl w:val="1"/>
    </w:pPr>
    <w:rPr>
      <w:rFonts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iti SC" w:hAnsi="Heiti SC" w:eastAsia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iti SC" w:hAnsi="Heiti SC"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iti SC" w:hAnsi="Heiti SC"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iti SC" w:hAnsi="Heiti SC"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iti SC" w:hAnsi="Heiti SC"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iti SC" w:hAnsi="Heiti SC"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iti SC" w:hAnsi="Heiti SC"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iti SC" w:hAnsi="Heiti SC"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iti SC" w:hAnsi="Heiti SC"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iti SC" w:hAnsi="Heiti SC"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8" w:lineRule="auto"/>
      <w:contextualSpacing/>
    </w:pPr>
    <w:rPr>
      <w:rFonts w:ascii="Heiti SC" w:hAnsi="Heiti SC" w:eastAsia="Hei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iti SC" w:hAnsi="Heiti SC"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iti SC" w:hAnsi="Heiti SC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iti SC" w:hAnsi="Heiti SC"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SC" w:hAnsi="Heiti SC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iti SC" w:hAnsi="Heiti SC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iti SC" w:hAnsi="Heiti SC"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iti SC" w:hAnsi="Heiti SC"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iti SC" w:hAnsi="Heiti SC"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iti SC" w:hAnsi="Heiti SC"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iti SC" w:hAnsi="Heiti SC"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iti SC" w:hAnsi="Heiti SC"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iti SC" w:hAnsi="Heiti SC" w:eastAsia="Heiti SC"/>
        <w:b/>
        <w:bCs/>
      </w:rPr>
    </w:tblStylePr>
    <w:tblStylePr w:type="lastCol">
      <w:rPr>
        <w:rFonts w:ascii="Heiti SC" w:hAnsi="Heiti SC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eiti SC" w:hAnsi="Heiti SC" w:eastAsia="Heiti SC"/>
        <w:b/>
        <w:bCs/>
      </w:rPr>
    </w:tblStylePr>
    <w:tblStylePr w:type="lastCol">
      <w:rPr>
        <w:rFonts w:ascii="Heiti SC" w:hAnsi="Heiti SC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eiti SC" w:hAnsi="Heiti SC" w:eastAsia="Heiti SC"/>
        <w:b/>
        <w:bCs/>
      </w:rPr>
    </w:tblStylePr>
    <w:tblStylePr w:type="lastCol">
      <w:rPr>
        <w:rFonts w:ascii="Heiti SC" w:hAnsi="Heiti SC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eiti SC" w:hAnsi="Heiti SC" w:eastAsia="Heiti SC"/>
        <w:b/>
        <w:bCs/>
      </w:rPr>
    </w:tblStylePr>
    <w:tblStylePr w:type="lastCol">
      <w:rPr>
        <w:rFonts w:ascii="Heiti SC" w:hAnsi="Heiti SC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eiti SC" w:hAnsi="Heiti SC" w:eastAsia="Heiti SC"/>
        <w:b/>
        <w:bCs/>
      </w:rPr>
    </w:tblStylePr>
    <w:tblStylePr w:type="lastCol">
      <w:rPr>
        <w:rFonts w:ascii="Heiti SC" w:hAnsi="Heiti SC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eiti SC" w:hAnsi="Heiti SC" w:eastAsia="Heiti SC"/>
        <w:b/>
        <w:bCs/>
      </w:rPr>
    </w:tblStylePr>
    <w:tblStylePr w:type="lastCol">
      <w:rPr>
        <w:rFonts w:ascii="Heiti SC" w:hAnsi="Heiti SC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eiti SC" w:hAnsi="Heiti SC" w:eastAsia="Heiti SC"/>
        <w:b/>
        <w:bCs/>
      </w:rPr>
    </w:tblStylePr>
    <w:tblStylePr w:type="lastCol">
      <w:rPr>
        <w:rFonts w:ascii="Heiti SC" w:hAnsi="Heiti SC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iti SC" w:hAnsi="Heiti SC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两周以内短线股票审查模板</dc:title>
  <dc:subject>A股候选股票审查框架与可复制AI指令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