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DAF6" w14:textId="2284F777" w:rsidR="00524867" w:rsidRDefault="00524867" w:rsidP="00524867">
      <w:pPr>
        <w:pStyle w:val="Heading2"/>
        <w:rPr>
          <w:b/>
          <w:bCs/>
          <w:color w:val="auto"/>
          <w:sz w:val="36"/>
          <w:szCs w:val="36"/>
        </w:rPr>
      </w:pPr>
      <w:r w:rsidRPr="00524867">
        <w:rPr>
          <w:b/>
          <w:bCs/>
          <w:color w:val="auto"/>
          <w:sz w:val="36"/>
          <w:szCs w:val="36"/>
        </w:rPr>
        <w:t xml:space="preserve">3. Thị </w:t>
      </w:r>
      <w:r w:rsidR="0068497A">
        <w:rPr>
          <w:b/>
          <w:bCs/>
          <w:color w:val="auto"/>
          <w:sz w:val="36"/>
          <w:szCs w:val="36"/>
        </w:rPr>
        <w:t>phần</w:t>
      </w:r>
      <w:r w:rsidRPr="00524867">
        <w:rPr>
          <w:b/>
          <w:bCs/>
          <w:color w:val="auto"/>
          <w:sz w:val="36"/>
          <w:szCs w:val="36"/>
        </w:rPr>
        <w:t xml:space="preserve"> </w:t>
      </w:r>
      <w:r w:rsidR="00FC560E">
        <w:rPr>
          <w:b/>
          <w:bCs/>
          <w:color w:val="auto"/>
          <w:sz w:val="36"/>
          <w:szCs w:val="36"/>
        </w:rPr>
        <w:t xml:space="preserve">của </w:t>
      </w:r>
      <w:r w:rsidR="00663744">
        <w:rPr>
          <w:b/>
          <w:bCs/>
          <w:color w:val="auto"/>
          <w:sz w:val="36"/>
          <w:szCs w:val="36"/>
        </w:rPr>
        <w:t>nền tảng</w:t>
      </w:r>
      <w:r w:rsidR="00FC560E">
        <w:rPr>
          <w:b/>
          <w:bCs/>
          <w:color w:val="auto"/>
          <w:sz w:val="36"/>
          <w:szCs w:val="36"/>
        </w:rPr>
        <w:t xml:space="preserve"> </w:t>
      </w:r>
      <w:r w:rsidRPr="00524867">
        <w:rPr>
          <w:b/>
          <w:bCs/>
          <w:color w:val="auto"/>
          <w:sz w:val="36"/>
          <w:szCs w:val="36"/>
        </w:rPr>
        <w:t xml:space="preserve">di động so với các </w:t>
      </w:r>
      <w:r w:rsidR="00663744">
        <w:rPr>
          <w:b/>
          <w:bCs/>
          <w:color w:val="auto"/>
          <w:sz w:val="36"/>
          <w:szCs w:val="36"/>
        </w:rPr>
        <w:t>nền tảng</w:t>
      </w:r>
      <w:r w:rsidRPr="00524867">
        <w:rPr>
          <w:b/>
          <w:bCs/>
          <w:color w:val="auto"/>
          <w:sz w:val="36"/>
          <w:szCs w:val="36"/>
        </w:rPr>
        <w:t xml:space="preserve"> khác:</w:t>
      </w:r>
    </w:p>
    <w:p w14:paraId="39724CEC" w14:textId="774D3CC0" w:rsidR="00524867" w:rsidRDefault="00524867" w:rsidP="00524867"/>
    <w:p w14:paraId="69209C24" w14:textId="2DE9AC0D" w:rsidR="00524867" w:rsidRDefault="0068497A" w:rsidP="00524867">
      <w:r>
        <w:rPr>
          <w:noProof/>
        </w:rPr>
        <w:drawing>
          <wp:inline distT="0" distB="0" distL="0" distR="0" wp14:anchorId="787A3BE5" wp14:editId="23B4DD26">
            <wp:extent cx="6156960" cy="4107180"/>
            <wp:effectExtent l="0" t="0" r="1524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9F60C8" w14:textId="16B5CDC1" w:rsidR="009E7588" w:rsidRPr="00FE5D64" w:rsidRDefault="009E7588" w:rsidP="009E7588">
      <w:pPr>
        <w:pStyle w:val="Caption"/>
        <w:jc w:val="center"/>
      </w:pPr>
      <w:r>
        <w:t xml:space="preserve">Dữ liệu dựa trên </w:t>
      </w:r>
      <w:hyperlink r:id="rId7" w:history="1">
        <w:r w:rsidRPr="009323B0">
          <w:rPr>
            <w:rStyle w:val="Hyperlink"/>
          </w:rPr>
          <w:t>https://gs.statcounter.com/platform-market-share</w:t>
        </w:r>
      </w:hyperlink>
    </w:p>
    <w:p w14:paraId="2FE35D4A" w14:textId="1C34BE40" w:rsidR="00524867" w:rsidRDefault="009E7588" w:rsidP="009E7588">
      <w:pPr>
        <w:pStyle w:val="ListParagraph"/>
        <w:numPr>
          <w:ilvl w:val="0"/>
          <w:numId w:val="2"/>
        </w:numPr>
      </w:pPr>
      <w:r>
        <w:t xml:space="preserve">Các thiết bị di động ngày càng phổ biến, hiện đang là nền tảng </w:t>
      </w:r>
      <w:r w:rsidR="006B78DC">
        <w:t>chiếm tỉ lệ lớn nhất trên thế giới. Hiện nay, người ta hoàn toàn có thể làm việc</w:t>
      </w:r>
      <w:r w:rsidR="00766DB7">
        <w:t>, đọc báo</w:t>
      </w:r>
      <w:r w:rsidR="006B78DC">
        <w:t>, xem phim, giải trí,…</w:t>
      </w:r>
      <w:r w:rsidR="00630D80">
        <w:t xml:space="preserve"> ở mọi nơi, mọi lúc</w:t>
      </w:r>
      <w:r w:rsidR="006B78DC">
        <w:t xml:space="preserve"> ngay trên chính chiếc smartphone của mình</w:t>
      </w:r>
      <w:r w:rsidR="00630D80">
        <w:t>, rất tiện lợi và nhanh chóng. Chính vì lý do đó mà số lượng người sử dụng nền tảng này đang tăng lên một cách nhanh chóng.</w:t>
      </w:r>
    </w:p>
    <w:p w14:paraId="2FC1F330" w14:textId="25F290B7" w:rsidR="0049453E" w:rsidRDefault="00630D80" w:rsidP="0049453E">
      <w:pPr>
        <w:pStyle w:val="ListParagraph"/>
        <w:numPr>
          <w:ilvl w:val="0"/>
          <w:numId w:val="2"/>
        </w:numPr>
      </w:pPr>
      <w:r>
        <w:t xml:space="preserve">Với sự phát triển chóng mặt của công nghệ hiện nay, rất có thể điện thoại di động sẽ  thay thế </w:t>
      </w:r>
      <w:r w:rsidR="00663744">
        <w:t xml:space="preserve">hoàn toàn </w:t>
      </w:r>
      <w:r>
        <w:t>các thiết bị khác trong một tương lai không xa.</w:t>
      </w:r>
    </w:p>
    <w:p w14:paraId="1B5DB777" w14:textId="27FA0F0C" w:rsidR="0049453E" w:rsidRDefault="0049453E" w:rsidP="0049453E"/>
    <w:p w14:paraId="3F201381" w14:textId="4C991507" w:rsidR="0049453E" w:rsidRDefault="0049453E" w:rsidP="0049453E"/>
    <w:p w14:paraId="27C88D3A" w14:textId="53DEC22F" w:rsidR="0049453E" w:rsidRDefault="0049453E" w:rsidP="0049453E"/>
    <w:p w14:paraId="1BC4E27D" w14:textId="77777777" w:rsidR="0049453E" w:rsidRPr="0049453E" w:rsidRDefault="0049453E" w:rsidP="0049453E"/>
    <w:p w14:paraId="4328FBB7" w14:textId="477006CE" w:rsidR="009E7588" w:rsidRPr="0049453E" w:rsidRDefault="00FE5D64" w:rsidP="0049453E">
      <w:pPr>
        <w:pStyle w:val="Heading2"/>
        <w:rPr>
          <w:b/>
          <w:bCs/>
          <w:sz w:val="36"/>
          <w:szCs w:val="36"/>
        </w:rPr>
      </w:pPr>
      <w:r w:rsidRPr="0049453E">
        <w:rPr>
          <w:b/>
          <w:bCs/>
          <w:color w:val="auto"/>
          <w:sz w:val="36"/>
          <w:szCs w:val="36"/>
        </w:rPr>
        <w:lastRenderedPageBreak/>
        <w:t>4. Thị phần</w:t>
      </w:r>
      <w:r w:rsidR="00FC560E" w:rsidRPr="0049453E">
        <w:rPr>
          <w:b/>
          <w:bCs/>
          <w:color w:val="auto"/>
          <w:sz w:val="36"/>
          <w:szCs w:val="36"/>
        </w:rPr>
        <w:t xml:space="preserve"> của</w:t>
      </w:r>
      <w:r w:rsidRPr="0049453E">
        <w:rPr>
          <w:b/>
          <w:bCs/>
          <w:color w:val="auto"/>
          <w:sz w:val="36"/>
          <w:szCs w:val="36"/>
        </w:rPr>
        <w:t xml:space="preserve"> hệ điều hành di động:</w:t>
      </w:r>
    </w:p>
    <w:p w14:paraId="1A719A47" w14:textId="77777777" w:rsidR="009E7588" w:rsidRPr="009E7588" w:rsidRDefault="009E7588" w:rsidP="009E7588"/>
    <w:p w14:paraId="55D3871C" w14:textId="241E8D8C" w:rsidR="00FE5D64" w:rsidRDefault="002E278C" w:rsidP="009E7588">
      <w:r>
        <w:rPr>
          <w:noProof/>
        </w:rPr>
        <w:drawing>
          <wp:inline distT="0" distB="0" distL="0" distR="0" wp14:anchorId="7FAD2315" wp14:editId="4D1441DE">
            <wp:extent cx="6187440" cy="3459480"/>
            <wp:effectExtent l="0" t="0" r="381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3385A7" w14:textId="29EBCAE5" w:rsidR="00016EDD" w:rsidRDefault="00650FC6" w:rsidP="00966417">
      <w:pPr>
        <w:keepNext/>
      </w:pPr>
      <w:r>
        <w:rPr>
          <w:noProof/>
        </w:rPr>
        <w:drawing>
          <wp:inline distT="0" distB="0" distL="0" distR="0" wp14:anchorId="3688CB03" wp14:editId="10E61A42">
            <wp:extent cx="6240780" cy="33223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94ECD3" w14:textId="6D948071" w:rsidR="00402BA4" w:rsidRPr="00402BA4" w:rsidRDefault="00FE5D64" w:rsidP="00402BA4">
      <w:pPr>
        <w:pStyle w:val="Caption"/>
        <w:jc w:val="center"/>
      </w:pPr>
      <w:r>
        <w:t>Dữ liệu dựa trên</w:t>
      </w:r>
      <w:r w:rsidR="00016EDD">
        <w:t xml:space="preserve"> </w:t>
      </w:r>
      <w:r w:rsidRPr="00402BA4">
        <w:t>https://gs.statcounter.com/os-market-share/mobile/worldwide</w:t>
      </w:r>
    </w:p>
    <w:p w14:paraId="4E467FD2" w14:textId="77777777" w:rsidR="00402BA4" w:rsidRDefault="00A57B2E" w:rsidP="00A57B2E">
      <w:pPr>
        <w:pStyle w:val="ListParagraph"/>
        <w:numPr>
          <w:ilvl w:val="0"/>
          <w:numId w:val="1"/>
        </w:numPr>
      </w:pPr>
      <w:r w:rsidRPr="00A57B2E">
        <w:rPr>
          <w:lang w:val="vi-VN"/>
        </w:rPr>
        <w:lastRenderedPageBreak/>
        <w:t xml:space="preserve">Hệ điều hành Android của Google được sử dụng rộng rãi nhất trên thế giới, </w:t>
      </w:r>
      <w:r w:rsidR="00966417">
        <w:t xml:space="preserve">phần lớn các thiết bị di động hiện nay sử dụng hệ điều hành này để hoạt động. </w:t>
      </w:r>
    </w:p>
    <w:p w14:paraId="62B8DC48" w14:textId="223D1411" w:rsidR="00FE5D64" w:rsidRPr="00FE5D64" w:rsidRDefault="00402BA4" w:rsidP="001C1457">
      <w:pPr>
        <w:pStyle w:val="ListParagraph"/>
        <w:numPr>
          <w:ilvl w:val="0"/>
          <w:numId w:val="1"/>
        </w:numPr>
      </w:pPr>
      <w:r>
        <w:t>Android chiếm 77.32% thị phần hệ điều hành di động toàn cầu 2018,</w:t>
      </w:r>
      <w:r w:rsidR="00B54E90">
        <w:t xml:space="preserve"> con số này giảm xuống 71.54% vào</w:t>
      </w:r>
      <w:r>
        <w:t xml:space="preserve"> năm 2022 </w:t>
      </w:r>
      <w:r w:rsidR="00B54E90">
        <w:t>.</w:t>
      </w:r>
      <w:r>
        <w:t xml:space="preserve">Trong khi đó, số lượng </w:t>
      </w:r>
      <w:r w:rsidR="005B5555">
        <w:t xml:space="preserve">sử dụng hệ điều hành IOS tăng từ 20.66% lên 27.81%. Sự thay đổi thị phần nhỏ này cho thấy sự thống trị của Android đang bị đe dọa, </w:t>
      </w:r>
      <w:r w:rsidR="00B54E90">
        <w:t xml:space="preserve">tuy nhiên sự phát triển mạnh mẽ về </w:t>
      </w:r>
      <w:r w:rsidR="00421006">
        <w:t xml:space="preserve">mặt </w:t>
      </w:r>
      <w:r w:rsidR="00B54E90">
        <w:t xml:space="preserve">công nghệ trên các thiết bị </w:t>
      </w:r>
      <w:r w:rsidR="00421006">
        <w:t>A</w:t>
      </w:r>
      <w:r w:rsidR="00B54E90">
        <w:t xml:space="preserve">ndroid </w:t>
      </w:r>
      <w:r w:rsidR="00421006">
        <w:t xml:space="preserve">những năm gần đây (màn hình gập, tốc độ làm tươi màn hình cao,…) dự đoán sự </w:t>
      </w:r>
      <w:r w:rsidR="00524867">
        <w:t xml:space="preserve">tăng trưởng </w:t>
      </w:r>
      <w:r w:rsidR="00421006">
        <w:t>trở lại</w:t>
      </w:r>
      <w:r w:rsidR="00524867">
        <w:t xml:space="preserve"> </w:t>
      </w:r>
      <w:r w:rsidR="00421006">
        <w:t>của hệ điều hành này.</w:t>
      </w:r>
    </w:p>
    <w:sectPr w:rsidR="00FE5D64" w:rsidRPr="00FE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05D"/>
    <w:multiLevelType w:val="hybridMultilevel"/>
    <w:tmpl w:val="0C022EAA"/>
    <w:lvl w:ilvl="0" w:tplc="E2F8EA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4EC4"/>
    <w:multiLevelType w:val="hybridMultilevel"/>
    <w:tmpl w:val="B7829704"/>
    <w:lvl w:ilvl="0" w:tplc="D9FC13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39845">
    <w:abstractNumId w:val="0"/>
  </w:num>
  <w:num w:numId="2" w16cid:durableId="186332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CC"/>
    <w:rsid w:val="00014CEB"/>
    <w:rsid w:val="00016EDD"/>
    <w:rsid w:val="001251A6"/>
    <w:rsid w:val="002E278C"/>
    <w:rsid w:val="00386ECC"/>
    <w:rsid w:val="003C28C6"/>
    <w:rsid w:val="00402BA4"/>
    <w:rsid w:val="00421006"/>
    <w:rsid w:val="00455870"/>
    <w:rsid w:val="0049453E"/>
    <w:rsid w:val="00524867"/>
    <w:rsid w:val="005B5555"/>
    <w:rsid w:val="00630D80"/>
    <w:rsid w:val="00650FC6"/>
    <w:rsid w:val="00663744"/>
    <w:rsid w:val="0068497A"/>
    <w:rsid w:val="006B78DC"/>
    <w:rsid w:val="006B7FD4"/>
    <w:rsid w:val="00766DB7"/>
    <w:rsid w:val="00966417"/>
    <w:rsid w:val="009E7588"/>
    <w:rsid w:val="00A57B2E"/>
    <w:rsid w:val="00AE6574"/>
    <w:rsid w:val="00B54E90"/>
    <w:rsid w:val="00FC560E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0688"/>
  <w15:chartTrackingRefBased/>
  <w15:docId w15:val="{DEC07AC7-6A53-48CA-A92F-CE0D80FC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E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16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E5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hyperlink" Target="https://gs.statcounter.com/platform-market-sh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Thị phần của nề</a:t>
            </a:r>
            <a:r>
              <a:rPr lang="en-US" sz="1400" baseline="0"/>
              <a:t>n tảng </a:t>
            </a:r>
            <a:r>
              <a:rPr lang="en-US" sz="1400"/>
              <a:t>di động so với các nền</a:t>
            </a:r>
            <a:r>
              <a:rPr lang="en-US" sz="1400" baseline="0"/>
              <a:t> tảng </a:t>
            </a:r>
            <a:r>
              <a:rPr lang="en-US" sz="1400"/>
              <a:t>khác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Thị phần của thiết bị di động so với các thiết bị khác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BD-4BEC-82F7-47B7FCC8A9F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BD-4BEC-82F7-47B7FCC8A9F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BD-4BEC-82F7-47B7FCC8A9F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BD-4BEC-82F7-47B7FCC8A9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Mobile</c:v>
                </c:pt>
                <c:pt idx="1">
                  <c:v>Desktop</c:v>
                </c:pt>
                <c:pt idx="2">
                  <c:v>Tablet</c:v>
                </c:pt>
                <c:pt idx="3">
                  <c:v>Console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0.59299999999999997</c:v>
                </c:pt>
                <c:pt idx="1">
                  <c:v>0.38450000000000001</c:v>
                </c:pt>
                <c:pt idx="2">
                  <c:v>2.2200000000000001E-2</c:v>
                </c:pt>
                <c:pt idx="3">
                  <c:v>2.9999999999999997E-4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8-4BF6-B245-317590476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Thị</a:t>
            </a:r>
            <a:r>
              <a:rPr lang="en-US" baseline="0"/>
              <a:t> phần của hệ điều hành di động 09/2018 - 09/2022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Android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76.61</c:v>
                </c:pt>
                <c:pt idx="1">
                  <c:v>74.69</c:v>
                </c:pt>
                <c:pt idx="2">
                  <c:v>72.349999999999994</c:v>
                </c:pt>
                <c:pt idx="3">
                  <c:v>75.16</c:v>
                </c:pt>
                <c:pt idx="4">
                  <c:v>74.45</c:v>
                </c:pt>
                <c:pt idx="5">
                  <c:v>74.150000000000006</c:v>
                </c:pt>
                <c:pt idx="6">
                  <c:v>75.33</c:v>
                </c:pt>
                <c:pt idx="7">
                  <c:v>75.22</c:v>
                </c:pt>
                <c:pt idx="8">
                  <c:v>75.34</c:v>
                </c:pt>
                <c:pt idx="9">
                  <c:v>76.03</c:v>
                </c:pt>
                <c:pt idx="10">
                  <c:v>76.08</c:v>
                </c:pt>
                <c:pt idx="11">
                  <c:v>76.23</c:v>
                </c:pt>
                <c:pt idx="12">
                  <c:v>76.239999999999995</c:v>
                </c:pt>
                <c:pt idx="13">
                  <c:v>76.67</c:v>
                </c:pt>
                <c:pt idx="14">
                  <c:v>75.819999999999993</c:v>
                </c:pt>
                <c:pt idx="15">
                  <c:v>74.13</c:v>
                </c:pt>
                <c:pt idx="16">
                  <c:v>74.3</c:v>
                </c:pt>
                <c:pt idx="17">
                  <c:v>73.3</c:v>
                </c:pt>
                <c:pt idx="18">
                  <c:v>72.260000000000005</c:v>
                </c:pt>
                <c:pt idx="19">
                  <c:v>70.680000000000007</c:v>
                </c:pt>
                <c:pt idx="20">
                  <c:v>72.599999999999994</c:v>
                </c:pt>
                <c:pt idx="21">
                  <c:v>74.14</c:v>
                </c:pt>
                <c:pt idx="22">
                  <c:v>74.599999999999994</c:v>
                </c:pt>
                <c:pt idx="23">
                  <c:v>74.25</c:v>
                </c:pt>
                <c:pt idx="24">
                  <c:v>74.44</c:v>
                </c:pt>
                <c:pt idx="25">
                  <c:v>72.92</c:v>
                </c:pt>
                <c:pt idx="26">
                  <c:v>71.180000000000007</c:v>
                </c:pt>
                <c:pt idx="27">
                  <c:v>72.48</c:v>
                </c:pt>
                <c:pt idx="28">
                  <c:v>71.930000000000007</c:v>
                </c:pt>
                <c:pt idx="29">
                  <c:v>71.900000000000006</c:v>
                </c:pt>
                <c:pt idx="30">
                  <c:v>71.83</c:v>
                </c:pt>
                <c:pt idx="31">
                  <c:v>72.19</c:v>
                </c:pt>
                <c:pt idx="32">
                  <c:v>72.72</c:v>
                </c:pt>
                <c:pt idx="33">
                  <c:v>72.83</c:v>
                </c:pt>
                <c:pt idx="34">
                  <c:v>72.209999999999994</c:v>
                </c:pt>
                <c:pt idx="35">
                  <c:v>72.739999999999995</c:v>
                </c:pt>
                <c:pt idx="36">
                  <c:v>72.44</c:v>
                </c:pt>
                <c:pt idx="37">
                  <c:v>71.09</c:v>
                </c:pt>
                <c:pt idx="38">
                  <c:v>70.739999999999995</c:v>
                </c:pt>
                <c:pt idx="39">
                  <c:v>70.010000000000005</c:v>
                </c:pt>
                <c:pt idx="40">
                  <c:v>69.739999999999995</c:v>
                </c:pt>
                <c:pt idx="41">
                  <c:v>70.94</c:v>
                </c:pt>
                <c:pt idx="42">
                  <c:v>71.7</c:v>
                </c:pt>
                <c:pt idx="43">
                  <c:v>71.59</c:v>
                </c:pt>
                <c:pt idx="44">
                  <c:v>71.45</c:v>
                </c:pt>
                <c:pt idx="45">
                  <c:v>72.12</c:v>
                </c:pt>
                <c:pt idx="46">
                  <c:v>71.849999999999994</c:v>
                </c:pt>
                <c:pt idx="47">
                  <c:v>71.52</c:v>
                </c:pt>
                <c:pt idx="48">
                  <c:v>71.17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0D-4A14-84E4-4EF898A945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Sheet1!$C$2:$C$50</c:f>
              <c:numCache>
                <c:formatCode>General</c:formatCode>
                <c:ptCount val="49"/>
                <c:pt idx="0">
                  <c:v>20.66</c:v>
                </c:pt>
                <c:pt idx="1">
                  <c:v>22.34</c:v>
                </c:pt>
                <c:pt idx="2">
                  <c:v>24.44</c:v>
                </c:pt>
                <c:pt idx="3">
                  <c:v>21.98</c:v>
                </c:pt>
                <c:pt idx="4">
                  <c:v>22.85</c:v>
                </c:pt>
                <c:pt idx="5">
                  <c:v>23.28</c:v>
                </c:pt>
                <c:pt idx="6">
                  <c:v>22.4</c:v>
                </c:pt>
                <c:pt idx="7">
                  <c:v>22.76</c:v>
                </c:pt>
                <c:pt idx="8">
                  <c:v>22.66</c:v>
                </c:pt>
                <c:pt idx="9">
                  <c:v>22.04</c:v>
                </c:pt>
                <c:pt idx="10">
                  <c:v>22.01</c:v>
                </c:pt>
                <c:pt idx="11">
                  <c:v>22.17</c:v>
                </c:pt>
                <c:pt idx="12">
                  <c:v>22.48</c:v>
                </c:pt>
                <c:pt idx="13">
                  <c:v>22.09</c:v>
                </c:pt>
                <c:pt idx="14">
                  <c:v>22.9</c:v>
                </c:pt>
                <c:pt idx="15">
                  <c:v>24.79</c:v>
                </c:pt>
                <c:pt idx="16">
                  <c:v>24.76</c:v>
                </c:pt>
                <c:pt idx="17">
                  <c:v>25.89</c:v>
                </c:pt>
                <c:pt idx="18">
                  <c:v>27.03</c:v>
                </c:pt>
                <c:pt idx="19">
                  <c:v>28.79</c:v>
                </c:pt>
                <c:pt idx="20">
                  <c:v>26.72</c:v>
                </c:pt>
                <c:pt idx="21">
                  <c:v>25.26</c:v>
                </c:pt>
                <c:pt idx="22">
                  <c:v>24.82</c:v>
                </c:pt>
                <c:pt idx="23">
                  <c:v>25.15</c:v>
                </c:pt>
                <c:pt idx="24">
                  <c:v>24.98</c:v>
                </c:pt>
                <c:pt idx="25">
                  <c:v>26.53</c:v>
                </c:pt>
                <c:pt idx="26">
                  <c:v>28.19</c:v>
                </c:pt>
                <c:pt idx="27">
                  <c:v>26.91</c:v>
                </c:pt>
                <c:pt idx="28">
                  <c:v>27.47</c:v>
                </c:pt>
                <c:pt idx="29">
                  <c:v>27.33</c:v>
                </c:pt>
                <c:pt idx="30">
                  <c:v>27.41</c:v>
                </c:pt>
                <c:pt idx="31">
                  <c:v>27</c:v>
                </c:pt>
                <c:pt idx="32">
                  <c:v>26.46</c:v>
                </c:pt>
                <c:pt idx="33">
                  <c:v>26.35</c:v>
                </c:pt>
                <c:pt idx="34">
                  <c:v>26.92</c:v>
                </c:pt>
                <c:pt idx="35">
                  <c:v>26.42</c:v>
                </c:pt>
                <c:pt idx="36">
                  <c:v>26.75</c:v>
                </c:pt>
                <c:pt idx="37">
                  <c:v>28.21</c:v>
                </c:pt>
                <c:pt idx="38">
                  <c:v>28.54</c:v>
                </c:pt>
                <c:pt idx="39">
                  <c:v>29.24</c:v>
                </c:pt>
                <c:pt idx="40">
                  <c:v>29.49</c:v>
                </c:pt>
                <c:pt idx="41">
                  <c:v>28.29</c:v>
                </c:pt>
                <c:pt idx="42">
                  <c:v>27.57</c:v>
                </c:pt>
                <c:pt idx="43">
                  <c:v>27.68</c:v>
                </c:pt>
                <c:pt idx="44">
                  <c:v>27.83</c:v>
                </c:pt>
                <c:pt idx="45">
                  <c:v>27.22</c:v>
                </c:pt>
                <c:pt idx="46">
                  <c:v>27.5</c:v>
                </c:pt>
                <c:pt idx="47">
                  <c:v>27.83</c:v>
                </c:pt>
                <c:pt idx="48">
                  <c:v>28.16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0D-4A14-84E4-4EF898A9451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KaiOS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Sheet1!$D$2:$D$50</c:f>
              <c:numCache>
                <c:formatCode>General</c:formatCode>
                <c:ptCount val="49"/>
                <c:pt idx="0">
                  <c:v>0.56000000000000005</c:v>
                </c:pt>
                <c:pt idx="1">
                  <c:v>0.93</c:v>
                </c:pt>
                <c:pt idx="2">
                  <c:v>1.1200000000000001</c:v>
                </c:pt>
                <c:pt idx="3">
                  <c:v>1.1299999999999999</c:v>
                </c:pt>
                <c:pt idx="4">
                  <c:v>1.1000000000000001</c:v>
                </c:pt>
                <c:pt idx="5">
                  <c:v>0.96</c:v>
                </c:pt>
                <c:pt idx="6">
                  <c:v>0.84</c:v>
                </c:pt>
                <c:pt idx="7">
                  <c:v>0.73</c:v>
                </c:pt>
                <c:pt idx="8">
                  <c:v>0.77</c:v>
                </c:pt>
                <c:pt idx="9">
                  <c:v>0.79</c:v>
                </c:pt>
                <c:pt idx="10">
                  <c:v>0.81</c:v>
                </c:pt>
                <c:pt idx="11">
                  <c:v>0.59</c:v>
                </c:pt>
                <c:pt idx="12">
                  <c:v>0.38</c:v>
                </c:pt>
                <c:pt idx="13">
                  <c:v>0.42</c:v>
                </c:pt>
                <c:pt idx="14">
                  <c:v>0.49</c:v>
                </c:pt>
                <c:pt idx="15">
                  <c:v>0.35</c:v>
                </c:pt>
                <c:pt idx="16">
                  <c:v>0.21</c:v>
                </c:pt>
                <c:pt idx="17">
                  <c:v>0.23</c:v>
                </c:pt>
                <c:pt idx="18">
                  <c:v>0.32</c:v>
                </c:pt>
                <c:pt idx="19">
                  <c:v>0.12</c:v>
                </c:pt>
                <c:pt idx="20">
                  <c:v>0.2</c:v>
                </c:pt>
                <c:pt idx="21">
                  <c:v>0.13</c:v>
                </c:pt>
                <c:pt idx="22">
                  <c:v>0.1</c:v>
                </c:pt>
                <c:pt idx="23">
                  <c:v>0.08</c:v>
                </c:pt>
                <c:pt idx="24">
                  <c:v>0.08</c:v>
                </c:pt>
                <c:pt idx="25">
                  <c:v>7.0000000000000007E-2</c:v>
                </c:pt>
                <c:pt idx="26">
                  <c:v>0.13</c:v>
                </c:pt>
                <c:pt idx="27">
                  <c:v>0.13</c:v>
                </c:pt>
                <c:pt idx="28">
                  <c:v>0.1</c:v>
                </c:pt>
                <c:pt idx="29">
                  <c:v>0.14000000000000001</c:v>
                </c:pt>
                <c:pt idx="30">
                  <c:v>0.14000000000000001</c:v>
                </c:pt>
                <c:pt idx="31">
                  <c:v>0.17</c:v>
                </c:pt>
                <c:pt idx="32">
                  <c:v>0.17</c:v>
                </c:pt>
                <c:pt idx="33">
                  <c:v>0.18</c:v>
                </c:pt>
                <c:pt idx="34">
                  <c:v>0.19</c:v>
                </c:pt>
                <c:pt idx="35">
                  <c:v>0.19</c:v>
                </c:pt>
                <c:pt idx="36">
                  <c:v>0.17</c:v>
                </c:pt>
                <c:pt idx="37">
                  <c:v>0.11</c:v>
                </c:pt>
                <c:pt idx="38">
                  <c:v>0.14000000000000001</c:v>
                </c:pt>
                <c:pt idx="39">
                  <c:v>0.13</c:v>
                </c:pt>
                <c:pt idx="40">
                  <c:v>0.14000000000000001</c:v>
                </c:pt>
                <c:pt idx="41">
                  <c:v>0.17</c:v>
                </c:pt>
                <c:pt idx="42">
                  <c:v>0.14000000000000001</c:v>
                </c:pt>
                <c:pt idx="43">
                  <c:v>0.12</c:v>
                </c:pt>
                <c:pt idx="44">
                  <c:v>0.12</c:v>
                </c:pt>
                <c:pt idx="45">
                  <c:v>0.08</c:v>
                </c:pt>
                <c:pt idx="46">
                  <c:v>0.05</c:v>
                </c:pt>
                <c:pt idx="47">
                  <c:v>0.04</c:v>
                </c:pt>
                <c:pt idx="48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0D-4A14-84E4-4EF898A9451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Samsung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Sheet1!$E$2:$E$50</c:f>
              <c:numCache>
                <c:formatCode>General</c:formatCode>
                <c:ptCount val="49"/>
                <c:pt idx="0">
                  <c:v>0.27</c:v>
                </c:pt>
                <c:pt idx="1">
                  <c:v>0.3</c:v>
                </c:pt>
                <c:pt idx="2">
                  <c:v>0.32</c:v>
                </c:pt>
                <c:pt idx="3">
                  <c:v>0.28999999999999998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0.26</c:v>
                </c:pt>
                <c:pt idx="7">
                  <c:v>0.24</c:v>
                </c:pt>
                <c:pt idx="8">
                  <c:v>0.22</c:v>
                </c:pt>
                <c:pt idx="9">
                  <c:v>0.21</c:v>
                </c:pt>
                <c:pt idx="10">
                  <c:v>0.21</c:v>
                </c:pt>
                <c:pt idx="11">
                  <c:v>0.21</c:v>
                </c:pt>
                <c:pt idx="12">
                  <c:v>0.18</c:v>
                </c:pt>
                <c:pt idx="13">
                  <c:v>0.17</c:v>
                </c:pt>
                <c:pt idx="14">
                  <c:v>0.18</c:v>
                </c:pt>
                <c:pt idx="15">
                  <c:v>0.18</c:v>
                </c:pt>
                <c:pt idx="16">
                  <c:v>0.2</c:v>
                </c:pt>
                <c:pt idx="17">
                  <c:v>0.18</c:v>
                </c:pt>
                <c:pt idx="18">
                  <c:v>0.16</c:v>
                </c:pt>
                <c:pt idx="19">
                  <c:v>0.17</c:v>
                </c:pt>
                <c:pt idx="20">
                  <c:v>0.21</c:v>
                </c:pt>
                <c:pt idx="21">
                  <c:v>0.21</c:v>
                </c:pt>
                <c:pt idx="22">
                  <c:v>0.21</c:v>
                </c:pt>
                <c:pt idx="23">
                  <c:v>0.23</c:v>
                </c:pt>
                <c:pt idx="24">
                  <c:v>0.22</c:v>
                </c:pt>
                <c:pt idx="25">
                  <c:v>0.22</c:v>
                </c:pt>
                <c:pt idx="26">
                  <c:v>0.24</c:v>
                </c:pt>
                <c:pt idx="27">
                  <c:v>0.23</c:v>
                </c:pt>
                <c:pt idx="28">
                  <c:v>0.28000000000000003</c:v>
                </c:pt>
                <c:pt idx="29">
                  <c:v>0.39</c:v>
                </c:pt>
                <c:pt idx="30">
                  <c:v>0.38</c:v>
                </c:pt>
                <c:pt idx="31">
                  <c:v>0.39</c:v>
                </c:pt>
                <c:pt idx="32">
                  <c:v>0.39</c:v>
                </c:pt>
                <c:pt idx="33">
                  <c:v>0.41</c:v>
                </c:pt>
                <c:pt idx="34">
                  <c:v>0.43</c:v>
                </c:pt>
                <c:pt idx="35">
                  <c:v>0.42</c:v>
                </c:pt>
                <c:pt idx="36">
                  <c:v>0.41</c:v>
                </c:pt>
                <c:pt idx="37">
                  <c:v>0.38</c:v>
                </c:pt>
                <c:pt idx="38">
                  <c:v>0.38</c:v>
                </c:pt>
                <c:pt idx="39">
                  <c:v>0.43</c:v>
                </c:pt>
                <c:pt idx="40">
                  <c:v>0.45</c:v>
                </c:pt>
                <c:pt idx="41">
                  <c:v>0.43</c:v>
                </c:pt>
                <c:pt idx="42">
                  <c:v>0.42</c:v>
                </c:pt>
                <c:pt idx="43">
                  <c:v>0.39</c:v>
                </c:pt>
                <c:pt idx="44">
                  <c:v>0.41</c:v>
                </c:pt>
                <c:pt idx="45">
                  <c:v>0.42</c:v>
                </c:pt>
                <c:pt idx="46">
                  <c:v>0.42</c:v>
                </c:pt>
                <c:pt idx="47">
                  <c:v>0.42</c:v>
                </c:pt>
                <c:pt idx="48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0D-4A14-84E4-4EF898A9451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Unknown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Sheet1!$F$2:$F$50</c:f>
              <c:numCache>
                <c:formatCode>General</c:formatCode>
                <c:ptCount val="49"/>
                <c:pt idx="0">
                  <c:v>0.83</c:v>
                </c:pt>
                <c:pt idx="1">
                  <c:v>0.68</c:v>
                </c:pt>
                <c:pt idx="2">
                  <c:v>0.62</c:v>
                </c:pt>
                <c:pt idx="3">
                  <c:v>0.46</c:v>
                </c:pt>
                <c:pt idx="4">
                  <c:v>0.41</c:v>
                </c:pt>
                <c:pt idx="5">
                  <c:v>0.42</c:v>
                </c:pt>
                <c:pt idx="6">
                  <c:v>0.36</c:v>
                </c:pt>
                <c:pt idx="7">
                  <c:v>0.32</c:v>
                </c:pt>
                <c:pt idx="8">
                  <c:v>0.32</c:v>
                </c:pt>
                <c:pt idx="9">
                  <c:v>0.32</c:v>
                </c:pt>
                <c:pt idx="10">
                  <c:v>0.31</c:v>
                </c:pt>
                <c:pt idx="11">
                  <c:v>0.26</c:v>
                </c:pt>
                <c:pt idx="12">
                  <c:v>0.23</c:v>
                </c:pt>
                <c:pt idx="13">
                  <c:v>0.21</c:v>
                </c:pt>
                <c:pt idx="14">
                  <c:v>0.19</c:v>
                </c:pt>
                <c:pt idx="15">
                  <c:v>0.19</c:v>
                </c:pt>
                <c:pt idx="16">
                  <c:v>0.19</c:v>
                </c:pt>
                <c:pt idx="17">
                  <c:v>0.13</c:v>
                </c:pt>
                <c:pt idx="18">
                  <c:v>0.06</c:v>
                </c:pt>
                <c:pt idx="19">
                  <c:v>0.09</c:v>
                </c:pt>
                <c:pt idx="20">
                  <c:v>0.11</c:v>
                </c:pt>
                <c:pt idx="21">
                  <c:v>0.11</c:v>
                </c:pt>
                <c:pt idx="22">
                  <c:v>0.13</c:v>
                </c:pt>
                <c:pt idx="23">
                  <c:v>0.13</c:v>
                </c:pt>
                <c:pt idx="24">
                  <c:v>0.14000000000000001</c:v>
                </c:pt>
                <c:pt idx="25">
                  <c:v>0.13</c:v>
                </c:pt>
                <c:pt idx="26">
                  <c:v>0.14000000000000001</c:v>
                </c:pt>
                <c:pt idx="27">
                  <c:v>0.14000000000000001</c:v>
                </c:pt>
                <c:pt idx="28">
                  <c:v>0.13</c:v>
                </c:pt>
                <c:pt idx="29">
                  <c:v>0.14000000000000001</c:v>
                </c:pt>
                <c:pt idx="30">
                  <c:v>0.14000000000000001</c:v>
                </c:pt>
                <c:pt idx="31">
                  <c:v>0.14000000000000001</c:v>
                </c:pt>
                <c:pt idx="32">
                  <c:v>0.15</c:v>
                </c:pt>
                <c:pt idx="33">
                  <c:v>0.14000000000000001</c:v>
                </c:pt>
                <c:pt idx="34">
                  <c:v>0.14000000000000001</c:v>
                </c:pt>
                <c:pt idx="35">
                  <c:v>0.14000000000000001</c:v>
                </c:pt>
                <c:pt idx="36">
                  <c:v>0.14000000000000001</c:v>
                </c:pt>
                <c:pt idx="37">
                  <c:v>0.13</c:v>
                </c:pt>
                <c:pt idx="38">
                  <c:v>0.13</c:v>
                </c:pt>
                <c:pt idx="39">
                  <c:v>0.12</c:v>
                </c:pt>
                <c:pt idx="40">
                  <c:v>0.11</c:v>
                </c:pt>
                <c:pt idx="41">
                  <c:v>0.1</c:v>
                </c:pt>
                <c:pt idx="42">
                  <c:v>0.1</c:v>
                </c:pt>
                <c:pt idx="43">
                  <c:v>0.15</c:v>
                </c:pt>
                <c:pt idx="44">
                  <c:v>0.12</c:v>
                </c:pt>
                <c:pt idx="45">
                  <c:v>0.11</c:v>
                </c:pt>
                <c:pt idx="46">
                  <c:v>0.12</c:v>
                </c:pt>
                <c:pt idx="47">
                  <c:v>0.13</c:v>
                </c:pt>
                <c:pt idx="48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0D-4A14-84E4-4EF898A9451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Windows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Sheet1!$G$2:$G$50</c:f>
              <c:numCache>
                <c:formatCode>General</c:formatCode>
                <c:ptCount val="49"/>
                <c:pt idx="0">
                  <c:v>0.37</c:v>
                </c:pt>
                <c:pt idx="1">
                  <c:v>0.36</c:v>
                </c:pt>
                <c:pt idx="2">
                  <c:v>0.39</c:v>
                </c:pt>
                <c:pt idx="3">
                  <c:v>0.33</c:v>
                </c:pt>
                <c:pt idx="4">
                  <c:v>0.3</c:v>
                </c:pt>
                <c:pt idx="5">
                  <c:v>0.28999999999999998</c:v>
                </c:pt>
                <c:pt idx="6">
                  <c:v>0.28000000000000003</c:v>
                </c:pt>
                <c:pt idx="7">
                  <c:v>0.26</c:v>
                </c:pt>
                <c:pt idx="8">
                  <c:v>0.24</c:v>
                </c:pt>
                <c:pt idx="9">
                  <c:v>0.21</c:v>
                </c:pt>
                <c:pt idx="10">
                  <c:v>0.2</c:v>
                </c:pt>
                <c:pt idx="11">
                  <c:v>0.2</c:v>
                </c:pt>
                <c:pt idx="12">
                  <c:v>0.17</c:v>
                </c:pt>
                <c:pt idx="13">
                  <c:v>0.15</c:v>
                </c:pt>
                <c:pt idx="14">
                  <c:v>0.15</c:v>
                </c:pt>
                <c:pt idx="15">
                  <c:v>0.13</c:v>
                </c:pt>
                <c:pt idx="16">
                  <c:v>0.12</c:v>
                </c:pt>
                <c:pt idx="17">
                  <c:v>0.12</c:v>
                </c:pt>
                <c:pt idx="18">
                  <c:v>0.1</c:v>
                </c:pt>
                <c:pt idx="19">
                  <c:v>7.0000000000000007E-2</c:v>
                </c:pt>
                <c:pt idx="20">
                  <c:v>0.03</c:v>
                </c:pt>
                <c:pt idx="21">
                  <c:v>0.04</c:v>
                </c:pt>
                <c:pt idx="22">
                  <c:v>0.04</c:v>
                </c:pt>
                <c:pt idx="23">
                  <c:v>0.03</c:v>
                </c:pt>
                <c:pt idx="24">
                  <c:v>0.03</c:v>
                </c:pt>
                <c:pt idx="25">
                  <c:v>0.03</c:v>
                </c:pt>
                <c:pt idx="26">
                  <c:v>0.03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0.02</c:v>
                </c:pt>
                <c:pt idx="47">
                  <c:v>0.01</c:v>
                </c:pt>
                <c:pt idx="48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0D-4A14-84E4-4EF898A9451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Series 40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Sheet1!$H$2:$H$50</c:f>
              <c:numCache>
                <c:formatCode>General</c:formatCode>
                <c:ptCount val="49"/>
                <c:pt idx="0">
                  <c:v>0.2</c:v>
                </c:pt>
                <c:pt idx="1">
                  <c:v>0.2</c:v>
                </c:pt>
                <c:pt idx="2">
                  <c:v>0.22</c:v>
                </c:pt>
                <c:pt idx="3">
                  <c:v>0.19</c:v>
                </c:pt>
                <c:pt idx="4">
                  <c:v>0.18</c:v>
                </c:pt>
                <c:pt idx="5">
                  <c:v>0.18</c:v>
                </c:pt>
                <c:pt idx="6">
                  <c:v>0.14000000000000001</c:v>
                </c:pt>
                <c:pt idx="7">
                  <c:v>0.12</c:v>
                </c:pt>
                <c:pt idx="8">
                  <c:v>0.12</c:v>
                </c:pt>
                <c:pt idx="9">
                  <c:v>0.1</c:v>
                </c:pt>
                <c:pt idx="10">
                  <c:v>0.1</c:v>
                </c:pt>
                <c:pt idx="11">
                  <c:v>0.09</c:v>
                </c:pt>
                <c:pt idx="12">
                  <c:v>0.08</c:v>
                </c:pt>
                <c:pt idx="13">
                  <c:v>7.0000000000000007E-2</c:v>
                </c:pt>
                <c:pt idx="14">
                  <c:v>0.06</c:v>
                </c:pt>
                <c:pt idx="15">
                  <c:v>0.06</c:v>
                </c:pt>
                <c:pt idx="16">
                  <c:v>0.05</c:v>
                </c:pt>
                <c:pt idx="17">
                  <c:v>0.03</c:v>
                </c:pt>
                <c:pt idx="18">
                  <c:v>0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0.03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60D-4A14-84E4-4EF898A9451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Nokia Unknown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Sheet1!$I$2:$I$50</c:f>
              <c:numCache>
                <c:formatCode>General</c:formatCode>
                <c:ptCount val="49"/>
                <c:pt idx="0">
                  <c:v>0.16</c:v>
                </c:pt>
                <c:pt idx="1">
                  <c:v>0.16</c:v>
                </c:pt>
                <c:pt idx="2">
                  <c:v>0.17</c:v>
                </c:pt>
                <c:pt idx="3">
                  <c:v>0.15</c:v>
                </c:pt>
                <c:pt idx="4">
                  <c:v>0.14000000000000001</c:v>
                </c:pt>
                <c:pt idx="5">
                  <c:v>0.14000000000000001</c:v>
                </c:pt>
                <c:pt idx="6">
                  <c:v>0.13</c:v>
                </c:pt>
                <c:pt idx="7">
                  <c:v>0.11</c:v>
                </c:pt>
                <c:pt idx="8">
                  <c:v>0.11</c:v>
                </c:pt>
                <c:pt idx="9">
                  <c:v>0.1</c:v>
                </c:pt>
                <c:pt idx="10">
                  <c:v>0.1</c:v>
                </c:pt>
                <c:pt idx="11">
                  <c:v>0.09</c:v>
                </c:pt>
                <c:pt idx="12">
                  <c:v>0.08</c:v>
                </c:pt>
                <c:pt idx="13">
                  <c:v>7.0000000000000007E-2</c:v>
                </c:pt>
                <c:pt idx="14">
                  <c:v>7.0000000000000007E-2</c:v>
                </c:pt>
                <c:pt idx="15">
                  <c:v>0.06</c:v>
                </c:pt>
                <c:pt idx="16">
                  <c:v>0.06</c:v>
                </c:pt>
                <c:pt idx="17">
                  <c:v>0.03</c:v>
                </c:pt>
                <c:pt idx="18">
                  <c:v>0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0.03</c:v>
                </c:pt>
                <c:pt idx="24">
                  <c:v>0.03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0.03</c:v>
                </c:pt>
                <c:pt idx="34">
                  <c:v>0.03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0.02</c:v>
                </c:pt>
                <c:pt idx="40">
                  <c:v>0.02</c:v>
                </c:pt>
                <c:pt idx="41">
                  <c:v>0.01</c:v>
                </c:pt>
                <c:pt idx="42">
                  <c:v>0.01</c:v>
                </c:pt>
                <c:pt idx="43">
                  <c:v>0.02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60D-4A14-84E4-4EF898A9451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Tizen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Sheet1!$J$2:$J$50</c:f>
              <c:numCache>
                <c:formatCode>General</c:formatCode>
                <c:ptCount val="49"/>
                <c:pt idx="0">
                  <c:v>0.12</c:v>
                </c:pt>
                <c:pt idx="1">
                  <c:v>0.12</c:v>
                </c:pt>
                <c:pt idx="2">
                  <c:v>0.13</c:v>
                </c:pt>
                <c:pt idx="3">
                  <c:v>0.11</c:v>
                </c:pt>
                <c:pt idx="4">
                  <c:v>0.1</c:v>
                </c:pt>
                <c:pt idx="5">
                  <c:v>0.09</c:v>
                </c:pt>
                <c:pt idx="6">
                  <c:v>7.0000000000000007E-2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7.0000000000000007E-2</c:v>
                </c:pt>
                <c:pt idx="10">
                  <c:v>7.0000000000000007E-2</c:v>
                </c:pt>
                <c:pt idx="11">
                  <c:v>7.0000000000000007E-2</c:v>
                </c:pt>
                <c:pt idx="12">
                  <c:v>0.06</c:v>
                </c:pt>
                <c:pt idx="13">
                  <c:v>0.05</c:v>
                </c:pt>
                <c:pt idx="14">
                  <c:v>0.05</c:v>
                </c:pt>
                <c:pt idx="15">
                  <c:v>0.04</c:v>
                </c:pt>
                <c:pt idx="16">
                  <c:v>0.03</c:v>
                </c:pt>
                <c:pt idx="17">
                  <c:v>0.03</c:v>
                </c:pt>
                <c:pt idx="18">
                  <c:v>0.02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60D-4A14-84E4-4EF898A9451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Linux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Sheet1!$K$2:$K$50</c:f>
              <c:numCache>
                <c:formatCode>General</c:formatCode>
                <c:ptCount val="49"/>
                <c:pt idx="0">
                  <c:v>0.06</c:v>
                </c:pt>
                <c:pt idx="1">
                  <c:v>0.06</c:v>
                </c:pt>
                <c:pt idx="2">
                  <c:v>7.0000000000000007E-2</c:v>
                </c:pt>
                <c:pt idx="3">
                  <c:v>0.05</c:v>
                </c:pt>
                <c:pt idx="4">
                  <c:v>0.05</c:v>
                </c:pt>
                <c:pt idx="5">
                  <c:v>0.06</c:v>
                </c:pt>
                <c:pt idx="6">
                  <c:v>0.06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  <c:pt idx="10">
                  <c:v>0.04</c:v>
                </c:pt>
                <c:pt idx="11">
                  <c:v>0.03</c:v>
                </c:pt>
                <c:pt idx="12">
                  <c:v>0.04</c:v>
                </c:pt>
                <c:pt idx="13">
                  <c:v>0.03</c:v>
                </c:pt>
                <c:pt idx="14">
                  <c:v>0.03</c:v>
                </c:pt>
                <c:pt idx="15">
                  <c:v>0.03</c:v>
                </c:pt>
                <c:pt idx="16">
                  <c:v>0.03</c:v>
                </c:pt>
                <c:pt idx="17">
                  <c:v>0.03</c:v>
                </c:pt>
                <c:pt idx="18">
                  <c:v>0.01</c:v>
                </c:pt>
                <c:pt idx="19">
                  <c:v>0.01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60D-4A14-84E4-4EF898A94510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BlackBerry OS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Sheet1!$L$2:$L$50</c:f>
              <c:numCache>
                <c:formatCode>General</c:formatCode>
                <c:ptCount val="49"/>
                <c:pt idx="0">
                  <c:v>0.06</c:v>
                </c:pt>
                <c:pt idx="1">
                  <c:v>0.06</c:v>
                </c:pt>
                <c:pt idx="2">
                  <c:v>0.06</c:v>
                </c:pt>
                <c:pt idx="3">
                  <c:v>0.05</c:v>
                </c:pt>
                <c:pt idx="4">
                  <c:v>0.05</c:v>
                </c:pt>
                <c:pt idx="5">
                  <c:v>0.05</c:v>
                </c:pt>
                <c:pt idx="6">
                  <c:v>0.04</c:v>
                </c:pt>
                <c:pt idx="7">
                  <c:v>0.05</c:v>
                </c:pt>
                <c:pt idx="8">
                  <c:v>0.04</c:v>
                </c:pt>
                <c:pt idx="9">
                  <c:v>0.03</c:v>
                </c:pt>
                <c:pt idx="10">
                  <c:v>0.03</c:v>
                </c:pt>
                <c:pt idx="11">
                  <c:v>0.03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60D-4A14-84E4-4EF898A94510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SymbianOS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Sheet1!$M$2:$M$50</c:f>
              <c:numCache>
                <c:formatCode>General</c:formatCode>
                <c:ptCount val="49"/>
                <c:pt idx="0">
                  <c:v>7.0000000000000007E-2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0.06</c:v>
                </c:pt>
                <c:pt idx="4">
                  <c:v>0.06</c:v>
                </c:pt>
                <c:pt idx="5">
                  <c:v>0.06</c:v>
                </c:pt>
                <c:pt idx="6">
                  <c:v>0.05</c:v>
                </c:pt>
                <c:pt idx="7">
                  <c:v>0.05</c:v>
                </c:pt>
                <c:pt idx="8">
                  <c:v>0.04</c:v>
                </c:pt>
                <c:pt idx="9">
                  <c:v>0.04</c:v>
                </c:pt>
                <c:pt idx="10">
                  <c:v>0.03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0.01</c:v>
                </c:pt>
                <c:pt idx="17">
                  <c:v>0.01</c:v>
                </c:pt>
                <c:pt idx="18">
                  <c:v>0</c:v>
                </c:pt>
                <c:pt idx="19">
                  <c:v>0.01</c:v>
                </c:pt>
                <c:pt idx="20">
                  <c:v>0.01</c:v>
                </c:pt>
                <c:pt idx="21">
                  <c:v>0</c:v>
                </c:pt>
                <c:pt idx="22">
                  <c:v>0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0.01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B60D-4A14-84E4-4EF898A94510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Other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Sheet1!$A$2:$A$50</c:f>
              <c:strCache>
                <c:ptCount val="49"/>
                <c:pt idx="0">
                  <c:v>2018-09</c:v>
                </c:pt>
                <c:pt idx="1">
                  <c:v>2018-10</c:v>
                </c:pt>
                <c:pt idx="2">
                  <c:v>2018-11</c:v>
                </c:pt>
                <c:pt idx="3">
                  <c:v>2018-12</c:v>
                </c:pt>
                <c:pt idx="4">
                  <c:v>2019-01</c:v>
                </c:pt>
                <c:pt idx="5">
                  <c:v>2019-02</c:v>
                </c:pt>
                <c:pt idx="6">
                  <c:v>2019-03</c:v>
                </c:pt>
                <c:pt idx="7">
                  <c:v>2019-04</c:v>
                </c:pt>
                <c:pt idx="8">
                  <c:v>2019-05</c:v>
                </c:pt>
                <c:pt idx="9">
                  <c:v>2019-06</c:v>
                </c:pt>
                <c:pt idx="10">
                  <c:v>2019-07</c:v>
                </c:pt>
                <c:pt idx="11">
                  <c:v>2019-08</c:v>
                </c:pt>
                <c:pt idx="12">
                  <c:v>2019-09</c:v>
                </c:pt>
                <c:pt idx="13">
                  <c:v>2019-10</c:v>
                </c:pt>
                <c:pt idx="14">
                  <c:v>2019-11</c:v>
                </c:pt>
                <c:pt idx="15">
                  <c:v>2019-12</c:v>
                </c:pt>
                <c:pt idx="16">
                  <c:v>2020-01</c:v>
                </c:pt>
                <c:pt idx="17">
                  <c:v>2020-02</c:v>
                </c:pt>
                <c:pt idx="18">
                  <c:v>2020-03</c:v>
                </c:pt>
                <c:pt idx="19">
                  <c:v>2020-04</c:v>
                </c:pt>
                <c:pt idx="20">
                  <c:v>2020-05</c:v>
                </c:pt>
                <c:pt idx="21">
                  <c:v>2020-06</c:v>
                </c:pt>
                <c:pt idx="22">
                  <c:v>2020-07</c:v>
                </c:pt>
                <c:pt idx="23">
                  <c:v>2020-08</c:v>
                </c:pt>
                <c:pt idx="24">
                  <c:v>2020-09</c:v>
                </c:pt>
                <c:pt idx="25">
                  <c:v>2020-10</c:v>
                </c:pt>
                <c:pt idx="26">
                  <c:v>2020-11</c:v>
                </c:pt>
                <c:pt idx="27">
                  <c:v>2020-12</c:v>
                </c:pt>
                <c:pt idx="28">
                  <c:v>2021-01</c:v>
                </c:pt>
                <c:pt idx="29">
                  <c:v>2021-02</c:v>
                </c:pt>
                <c:pt idx="30">
                  <c:v>2021-03</c:v>
                </c:pt>
                <c:pt idx="31">
                  <c:v>2021-04</c:v>
                </c:pt>
                <c:pt idx="32">
                  <c:v>2021-05</c:v>
                </c:pt>
                <c:pt idx="33">
                  <c:v>2021-06</c:v>
                </c:pt>
                <c:pt idx="34">
                  <c:v>2021-07</c:v>
                </c:pt>
                <c:pt idx="35">
                  <c:v>2021-08</c:v>
                </c:pt>
                <c:pt idx="36">
                  <c:v>2021-09</c:v>
                </c:pt>
                <c:pt idx="37">
                  <c:v>2021-10</c:v>
                </c:pt>
                <c:pt idx="38">
                  <c:v>2021-11</c:v>
                </c:pt>
                <c:pt idx="39">
                  <c:v>2021-12</c:v>
                </c:pt>
                <c:pt idx="40">
                  <c:v>2022-01</c:v>
                </c:pt>
                <c:pt idx="41">
                  <c:v>2022-02</c:v>
                </c:pt>
                <c:pt idx="42">
                  <c:v>2022-03</c:v>
                </c:pt>
                <c:pt idx="43">
                  <c:v>2022-04</c:v>
                </c:pt>
                <c:pt idx="44">
                  <c:v>2022-05</c:v>
                </c:pt>
                <c:pt idx="45">
                  <c:v>2022-06</c:v>
                </c:pt>
                <c:pt idx="46">
                  <c:v>2022-07</c:v>
                </c:pt>
                <c:pt idx="47">
                  <c:v>2022-08</c:v>
                </c:pt>
                <c:pt idx="48">
                  <c:v>2022-09</c:v>
                </c:pt>
              </c:strCache>
            </c:strRef>
          </c:cat>
          <c:val>
            <c:numRef>
              <c:f>Sheet1!$N$2:$N$50</c:f>
              <c:numCache>
                <c:formatCode>General</c:formatCode>
                <c:ptCount val="49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B60D-4A14-84E4-4EF898A94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946304"/>
        <c:axId val="492946720"/>
      </c:lineChart>
      <c:catAx>
        <c:axId val="49294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946720"/>
        <c:crosses val="autoZero"/>
        <c:auto val="1"/>
        <c:lblAlgn val="ctr"/>
        <c:lblOffset val="100"/>
        <c:noMultiLvlLbl val="0"/>
      </c:catAx>
      <c:valAx>
        <c:axId val="49294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94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Thị</a:t>
            </a:r>
            <a:r>
              <a:rPr lang="en-US" sz="1400" baseline="0"/>
              <a:t> phần của hệ điều hành di động 2022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Mobile Operating System Market Share Worldwide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16-4748-A531-35FE9C9913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16-4748-A531-35FE9C9913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16-4748-A531-35FE9C9913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C16-4748-A531-35FE9C9913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52-4F02-9263-E185882E198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C16-4748-A531-35FE9C9913F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C16-4748-A531-35FE9C9913F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IOS</c:v>
                </c:pt>
                <c:pt idx="2">
                  <c:v>Samsung</c:v>
                </c:pt>
                <c:pt idx="3">
                  <c:v>Unknown / Other</c:v>
                </c:pt>
                <c:pt idx="4">
                  <c:v>KaiOS</c:v>
                </c:pt>
                <c:pt idx="5">
                  <c:v>Windows Phone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0.71540000000000004</c:v>
                </c:pt>
                <c:pt idx="1">
                  <c:v>0.27810000000000001</c:v>
                </c:pt>
                <c:pt idx="2">
                  <c:v>4.1999999999999997E-3</c:v>
                </c:pt>
                <c:pt idx="3">
                  <c:v>1.2999999999999999E-3</c:v>
                </c:pt>
                <c:pt idx="4">
                  <c:v>4.0000000000000002E-4</c:v>
                </c:pt>
                <c:pt idx="5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52-4F02-9263-E185882E1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percent"/>
        <c:splitPos val="10"/>
        <c:secondPieSize val="75"/>
        <c:ser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3610102996168653"/>
          <c:y val="0.15097380343380645"/>
          <c:w val="0.53946655151186618"/>
          <c:h val="0.104600215202984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FC1E-6A7C-48D6-9E96-AED4CC00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LONG VŨ</dc:creator>
  <cp:keywords/>
  <dc:description/>
  <cp:lastModifiedBy>NGUYỄN LONG VŨ</cp:lastModifiedBy>
  <cp:revision>4</cp:revision>
  <dcterms:created xsi:type="dcterms:W3CDTF">2022-09-07T09:45:00Z</dcterms:created>
  <dcterms:modified xsi:type="dcterms:W3CDTF">2022-09-09T08:16:00Z</dcterms:modified>
</cp:coreProperties>
</file>