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jc w:val="center"/>
      </w:pPr>
      <w:r>
        <w:rPr>
          <w:b w:val="on"/>
          <w:rFonts w:ascii="创艺简标宋" w:hAnsi="创艺简标宋" w:cs="创艺简标宋" w:eastAsia="创艺简标宋"/>
          <w:sz w:val="40"/>
        </w:rPr>
        <w:t>2023年11月市容环卫、园林绿化专项考评情况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76"/>
        </w:trPr>
        <w:tc>
          <w:tcPr>
            <w:tcW w:w="136" w:type="dxa"/>
            <w:hMerge w:val="restart"/>
            <w:v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考评专项</w:t>
            </w: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tcW w:w="85" w:type="dxa"/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tcW w:w="78" w:type="dxa"/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湖里城建</w:t>
            </w:r>
          </w:p>
        </w:tc>
        <w:tc>
          <w:tcPr>
            <w:tcW w:w="110" w:type="dxa"/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tcW w:w="80" w:type="dxa"/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翔安城建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</w:tr>
      <w:tr>
        <w:trPr>
          <w:trHeight w:val="48"/>
        </w:trPr>
        <w:tc>
          <w:tcPr>
            <w:hMerge w:val="restart"/>
            <w:v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排名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rPr>
                <w:rFonts w:ascii="仿宋_GB2312" w:hAnsi="仿宋_GB2312" w:cs="仿宋_GB2312" w:eastAsia="仿宋_GB2312"/>
                <w:sz w:val="28"/>
              </w:rPr>
              <w:t>相较翔安区平均分</w:t>
            </w:r>
          </w:p>
        </w:tc>
      </w:tr>
      <w:tr>
        <w:trPr>
          <w:trHeight w:val="42"/>
        </w:trP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园林绿化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公园绿地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园林绿化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道路绿地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87.46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全市第一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rPr>
          <w:trHeight w:val="42"/>
        </w:trP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环卫公厕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93.19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全市并列第二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道班房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市容环卫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道路清洗（扫）保洁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91.34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全市并列第二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</w:tr>
      <w:tr>
        <w:trPr>
          <w:trHeight w:val="42"/>
        </w:trPr>
        <w:tc>
          <w:tcPr>
            <w:tcW w:type="dxa" w:w="8000"/>
            <w:vMerge w:val="restart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红榜数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7条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3条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排名未公布</w:t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综合成绩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/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99.51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高于</w:t>
            </w:r>
          </w:p>
        </w:tc>
      </w:tr>
      <w:tr>
        <w:trPr>
          <w:trHeight w:val="42"/>
        </w:trPr>
        <w:tc>
          <w:tcPr>
            <w:tcW w:type="dxa" w:w="8000"/>
            <w:vMerge w:val="continue"/>
            <w:vAlign w:val="center"/>
          </w:tcPr>
          <w:p>
            <w:pPr>
              <w:jc w:val="center"/>
            </w:pPr>
            <w:r>
              <w:t>背街小巷保洁</w:t>
            </w:r>
          </w:p>
        </w:tc>
        <w:tc>
          <w:tcPr>
            <w:tcW w:type="dxa" w:w="8000"/>
            <w:vAlign w:val="center"/>
          </w:tcPr>
          <w:p>
            <w:pPr>
              <w:jc w:val="center"/>
            </w:pPr>
            <w:r>
              <w:t>黑榜数</w:t>
            </w: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  <w:tc>
          <w:tcPr>
            <w:hMerge w:val="restart"/>
            <w:vAlign w:val="center"/>
          </w:tcPr>
          <w:tcPr>
            <w:tcW w:type="dxa" w:w="8000"/>
          </w:tcPr>
          <w:p>
            <w:pPr>
              <w:jc w:val="center"/>
            </w:pPr>
            <w:r>
              <w:t>成绩未公布</w:t>
            </w:r>
          </w:p>
        </w:tc>
        <w:tc>
          <w:tcPr>
            <w:hMerge w:val="continue"/>
            <w:vAlign w:val="center"/>
          </w:tcPr>
          <w:tcPr>
            <w:tcW w:type="dxa" w:w="8000"/>
          </w:tcPr>
          <w:p>
            <w:pPr>
              <w:jc w:val="center"/>
            </w:pPr>
          </w:p>
        </w:tc>
      </w:tr>
    </w:tbl>
    <w:p>
      <w:r>
        <w:rPr>
          <w:sz w:val="24"/>
        </w:rPr>
        <w:t>说明：11月市政设施专项考评湖里城建、翔安城建均未收到相关通报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1FDF4F44"/>
    <w:rsid w:val="202E3131"/>
    <w:rsid w:val="21D95D87"/>
    <w:rsid w:val="22DE088B"/>
    <w:rsid w:val="263BB8FA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9E7F829"/>
    <w:rsid w:val="72930C07"/>
    <w:rsid w:val="73016A41"/>
    <w:rsid w:val="73207674"/>
    <w:rsid w:val="774302D7"/>
    <w:rsid w:val="77FB9BF9"/>
    <w:rsid w:val="7AFE32DE"/>
    <w:rsid w:val="7D095273"/>
    <w:rsid w:val="7DA3BD23"/>
    <w:rsid w:val="7DFF3765"/>
    <w:rsid w:val="BD1F5E82"/>
    <w:rsid w:val="DDF4E0BE"/>
    <w:rsid w:val="EB7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0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2024-02-03T10:36:00Z</dcterms:created>
  <dc:creator>Lenovo</dc:creator>
  <cp:lastModifiedBy>冰然心动</cp:lastModifiedBy>
  <dcterms:modified xsi:type="dcterms:W3CDTF">2024-03-21T15:40:25Z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