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创艺简标宋" w:hAnsi="创艺简标宋" w:cs="创艺简标宋" w:eastAsia="创艺简标宋"/>
          <w:b w:val="on"/>
          <w:sz w:val="40"/>
        </w:rPr>
        <w:t>2023年11月份全市创建全国文明城市工作暨城市综合管理考评情况</w:t>
      </w:r>
    </w:p>
    <w:p>
      <w:pPr>
        <w:jc w:val="left"/>
      </w:pP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963"/>
        <w:gridCol w:w="1060"/>
        <w:gridCol w:w="1413"/>
        <w:gridCol w:w="1321"/>
        <w:gridCol w:w="2759"/>
      </w:tblGrid>
      <w:tr>
        <w:trPr>
          <w:trHeight w:val="986" w:hRule="atLeast"/>
          <w:jc w:val="center"/>
        </w:trPr>
        <w:trPr>
          <w:trHeight w:val="74"/>
        </w:trPr>
        <w:tc>
          <w:tcPr>
            <w:tcW w:w="18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cs="仿宋_GB2312" w:eastAsia="仿宋_GB2312"/>
                <w:u/>
                <w:sz w:val="24"/>
              </w:rPr>
              <w:t/>
            </w: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专项考评</w:t>
            </w:r>
          </w:p>
        </w:tc>
        <w:tc>
          <w:tcPr>
            <w:tcW w:w="332" w:type="dxa"/>
            <w:gridSpan w:val="3"/>
            <w:tcBorders>
              <w:left w:val="single" w:color="auto" w:sz="4" w:space="0"/>
            </w:tcBorders>
            <w:vAlign w:val="center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仿宋_GB2312" w:hAnsi="仿宋_GB2312" w:cs="仿宋_GB2312" w:eastAsia="仿宋_GB2312"/>
                <w:sz w:val="24"/>
              </w:rPr>
              <w:t>湖里区</w:t>
            </w:r>
          </w:p>
        </w:tc>
      </w:tr>
      <w:tr>
        <w:trPr>
          <w:wAfter w:w="0" w:type="auto"/>
          <w:trHeight w:val="501" w:hRule="atLeast"/>
          <w:jc w:val="center"/>
        </w:trPr>
        <w:trPr>
          <w:trHeight w:val="48"/>
        </w:trPr>
        <w:tc>
          <w:tcPr>
            <w:tcW w:w="182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2" w:type="dxa"/>
            <w:gridSpan w:val="2"/>
            <w:tcBorders>
              <w:left w:val="single" w:color="auto" w:sz="4" w:space="0"/>
            </w:tcBorders>
            <w:vAlign w:val="center"/>
            <w:vAlign w:val="center"/>
          </w:tcPr>
          <w:p>
            <w:pPr>
              <w:jc w:val="center"/>
            </w:pPr>
            <w:r>
              <w:rPr>
                <w:rFonts w:hint="eastAsia" w:ascii="仿宋_GB2312" w:hAnsi="仿宋_GB2312" w:cs="仿宋_GB2312" w:eastAsia="仿宋_GB2312"/>
                <w:sz w:val="24"/>
              </w:rPr>
              <w:t>单项成绩</w:t>
            </w:r>
          </w:p>
          <w:p>
            <w:pPr>
              <w:jc w:val="center"/>
            </w:pPr>
            <w:r>
              <w:rPr>
                <w:rFonts w:hint="eastAsia" w:ascii="仿宋_GB2312" w:hAnsi="仿宋_GB2312" w:cs="仿宋_GB2312" w:eastAsia="仿宋_GB2312"/>
                <w:sz w:val="24"/>
              </w:rPr>
              <w:t>全市排名</w:t>
            </w:r>
          </w:p>
        </w:tc>
        <w:tc>
          <w:tcPr>
            <w:tcW w:w="140" w:type="dxa"/>
            <w:vAlign w:val="center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 w:ascii="仿宋_GB2312" w:hAnsi="仿宋_GB2312" w:cs="仿宋_GB2312" w:eastAsia="仿宋_GB2312"/>
                <w:sz w:val="24"/>
              </w:rPr>
              <w:t>综合成绩</w:t>
            </w:r>
          </w:p>
          <w:p>
            <w:pPr>
              <w:jc w:val="center"/>
            </w:pPr>
            <w:r>
              <w:rPr>
                <w:rFonts w:hint="eastAsia" w:ascii="仿宋_GB2312" w:hAnsi="仿宋_GB2312" w:cs="仿宋_GB2312" w:eastAsia="仿宋_GB2312"/>
                <w:sz w:val="24"/>
              </w:rPr>
              <w:t>全市排名</w:t>
            </w:r>
          </w:p>
        </w:tc>
      </w:tr>
      <w:tr>
        <w:trPr>
          <w:trHeight w:val="50"/>
        </w:trPr>
        <w:tc>
          <w:tcPr>
            <w:tcW w:type="dxa" w:w="182"/>
            <w:gridSpan w:val="3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1.平台考核【20%】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9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-</w:t>
              <w:br w:type="textWrapping"/>
              <w:t>/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140" w:type="dxa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91.0</w:t>
              <w:br w:type="textWrapping"/>
              <w:t>全市并列第一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50"/>
        </w:trPr>
        <w:tc>
          <w:tcPr>
            <w:tcW w:w="80" w:type="dxa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2.城市精细化管理【60%】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0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社区网格管理\n（30%）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9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89.0</w:t>
              <w:br w:type="textWrapping"/>
              <w:t>全市第二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140" w:type="dxa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91.52</w:t>
              <w:br w:type="textWrapping"/>
              <w:t>全市第一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50"/>
        </w:trP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4.行业考评【10%】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市容环卫（2.5%）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道路清洗（扫）保洁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45.67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93.19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85.28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50"/>
        </w:trPr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4.行业考评【10%】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市容环卫（2.5%）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环卫设施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33.87</w:t>
              <w:br w:type="textWrapping"/>
              <w:t>全市并列第四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93.19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85.28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50"/>
        </w:trPr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4.行业考评【10%】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市容环卫（2.5%）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组织管理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13.65</w:t>
              <w:br w:type="textWrapping"/>
              <w:t>全市并列第一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93.19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85.28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50"/>
        </w:trPr>
        <w:tc>
          <w:tcPr>
            <w:tcW w:w="80" w:type="dxa"/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4.行业考评【10%】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0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扬尘防治（2.5%）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9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81.12</w:t>
              <w:br w:type="textWrapping"/>
              <w:t>全市并列第一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85.28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50"/>
        </w:trPr>
        <w:tc>
          <w:tcPr>
            <w:tcW w:w="80" w:type="dxa"/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4.行业考评【10%】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0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门前三包”管理（2.5%）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9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-</w:t>
              <w:br w:type="textWrapping"/>
              <w:t>/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85.28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</w:tr>
      <w:tr>
        <w:trPr>
          <w:trHeight w:val="50"/>
        </w:trPr>
        <w:tc>
          <w:tcPr>
            <w:tcW w:w="80" w:type="dxa"/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4.行业考评【10%】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0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两违”综合治理（2.5%）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type="dxa" w:w="192"/>
            <w:gridSpan w:val="2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12.0</w:t>
              <w:br w:type="textWrapping"/>
              <w:t>1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  <w:tc>
          <w:tcPr>
            <w:tcW w:w="140" w:type="dxa"/>
            <w:vMerge w:val="continue"/>
            <w:vAlign w:val="center"/>
          </w:tcPr>
          <w:p>
            <w:pPr>
              <w:jc w:val="center"/>
            </w:pPr>
            <w:r>
              <w:rPr>
                <w:u w:color="auto"/>
                <w:rFonts w:ascii="仿宋_GB2312" w:hAnsi="仿宋_GB2312" w:cs="仿宋_GB2312" w:eastAsia="仿宋_GB2312"/>
                <w:sz w:val="24"/>
              </w:rPr>
              <w:t>85.28</w:t>
              <w:br w:type="textWrapping"/>
              <w:t>全市并列第二</w:t>
            </w:r>
            <w:r>
              <w:rPr>
                <w:u/>
                <w:rFonts w:ascii="仿宋_GB2312" w:hAnsi="仿宋_GB2312" w:cs="仿宋_GB2312" w:eastAsia="仿宋_GB2312"/>
                <w:sz w:val="24"/>
              </w:rPr>
            </w:r>
          </w:p>
        </w:tc>
      </w:tr>
    </w:tbl>
    <w:p>
      <w:pPr>
        <w:jc w:val="left"/>
      </w:pPr>
      <w:r>
        <w:rPr>
          <w:rFonts w:hint="eastAsia"/>
          <w:u/>
        </w:rPr>
        <w:t xml:space="preserve">说明: </w:t>
      </w:r>
      <w:r>
        <w:rPr>
          <w:u w:color="auto"/>
        </w:rPr>
        <w:t>测试备注内容。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1DC69CD"/>
    <w:rsid w:val="126B5B47"/>
    <w:rsid w:val="12927506"/>
    <w:rsid w:val="137FA4CF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BF3957C"/>
    <w:rsid w:val="3D491BBB"/>
    <w:rsid w:val="407A1061"/>
    <w:rsid w:val="43C006FD"/>
    <w:rsid w:val="459B79C0"/>
    <w:rsid w:val="46BD7176"/>
    <w:rsid w:val="4B3F45FD"/>
    <w:rsid w:val="4D59875A"/>
    <w:rsid w:val="4DD3F5F7"/>
    <w:rsid w:val="4E3C3076"/>
    <w:rsid w:val="52B1496E"/>
    <w:rsid w:val="549A2107"/>
    <w:rsid w:val="6166248C"/>
    <w:rsid w:val="65C854C3"/>
    <w:rsid w:val="6F1A6891"/>
    <w:rsid w:val="72930C07"/>
    <w:rsid w:val="73016A41"/>
    <w:rsid w:val="73207674"/>
    <w:rsid w:val="76995694"/>
    <w:rsid w:val="774302D7"/>
    <w:rsid w:val="77FB3E2E"/>
    <w:rsid w:val="7AFE32DE"/>
    <w:rsid w:val="7BFE1026"/>
    <w:rsid w:val="7E7FAB21"/>
    <w:rsid w:val="7EFF3BFD"/>
    <w:rsid w:val="7FAE4D0B"/>
    <w:rsid w:val="7FDB397D"/>
    <w:rsid w:val="7FE57A39"/>
    <w:rsid w:val="85F99E1D"/>
    <w:rsid w:val="9EF7BE58"/>
    <w:rsid w:val="9FBE715D"/>
    <w:rsid w:val="B9C77E53"/>
    <w:rsid w:val="D7FEC3D7"/>
    <w:rsid w:val="DE7E9A00"/>
    <w:rsid w:val="DFDF6DA5"/>
    <w:rsid w:val="EAF579A3"/>
    <w:rsid w:val="EEFDEB67"/>
    <w:rsid w:val="F4FF08C9"/>
    <w:rsid w:val="FDFBC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3</TotalTime>
  <ScaleCrop>false</ScaleCrop>
  <LinksUpToDate>false</LinksUpToDate>
  <CharactersWithSpaces>85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2024-07-16T18:07:39Z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C5A7EBD88F0D4DC5B0532134451A4868_12</vt:lpwstr>
  </property>
</Properties>
</file>