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000000"/>
          <w:sz w:val="44"/>
        </w:rPr>
        <w:t>企业知识库 RAG 问答系统项目开发框架文档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05A69"/>
          <w:sz w:val="21"/>
        </w:rPr>
        <w:t>Agent 版规范化整理稿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2"/>
        </w:rPr>
        <w:t>1 文档目的</w:t>
      </w:r>
    </w:p>
    <w:p>
      <w:pPr>
        <w:spacing w:line="288" w:lineRule="auto" w:after="120"/>
      </w:pPr>
      <w:r>
        <w:rPr>
          <w:rFonts w:ascii="Microsoft YaHei" w:hAnsi="Microsoft YaHei" w:eastAsia="Microsoft YaHei"/>
          <w:b w:val="0"/>
          <w:color w:val="000000"/>
          <w:sz w:val="21"/>
        </w:rPr>
        <w:t>本文档根据用户提供的项目开发框架文本、现有 PRD 与本项目 AGENTS.md 进行规范化整理，用于指导后续本地 VS Code 开发、Agent 协作、目录搭建、前后端分工、数据库设计与 MVP 迭代。</w:t>
      </w:r>
    </w:p>
    <w:p>
      <w:pPr>
        <w:spacing w:line="288" w:lineRule="auto" w:after="120"/>
      </w:pPr>
      <w:r>
        <w:rPr>
          <w:rFonts w:ascii="Microsoft YaHei" w:hAnsi="Microsoft YaHei" w:eastAsia="Microsoft YaHei"/>
          <w:b w:val="0"/>
          <w:color w:val="000000"/>
          <w:sz w:val="21"/>
        </w:rPr>
        <w:t>当本文档与 AGENTS.md 存在冲突时，以 AGENTS.md 为准。本文档不会记录任何真实 API Key、App Secret 或其他敏感凭据。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2"/>
        </w:rPr>
        <w:t>2 项目概述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9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DDEBFF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项目项</w:t>
            </w:r>
          </w:p>
        </w:tc>
        <w:tc>
          <w:tcPr>
            <w:tcW w:type="dxa" w:w="6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DDEBFF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项目名称</w:t>
            </w:r>
          </w:p>
        </w:tc>
        <w:tc>
          <w:tcPr>
            <w:tcW w:type="dxa" w:w="6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企业知识库 RAG 问答系统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代码根目录</w:t>
            </w:r>
          </w:p>
        </w:tc>
        <w:tc>
          <w:tcPr>
            <w:tcW w:type="dxa" w:w="6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F:\求职\产品\企业知识库 RAG 问答系统运营项目\Enterprise-Knowledge-Base-RAG-Q-A-Operations-Project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项目定位</w:t>
            </w:r>
          </w:p>
        </w:tc>
        <w:tc>
          <w:tcPr>
            <w:tcW w:type="dxa" w:w="6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作品集展示为主，兼具企业内部 5 到 10 人小范围试用能力。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目标用户</w:t>
            </w:r>
          </w:p>
        </w:tc>
        <w:tc>
          <w:tcPr>
            <w:tcW w:type="dxa" w:w="6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企业内部员工、普通用户、部门管理员、超级管理员。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核心能力</w:t>
            </w:r>
          </w:p>
        </w:tc>
        <w:tc>
          <w:tcPr>
            <w:tcW w:type="dxa" w:w="6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多用户登录、部门强隔离、文档上传、公开飞书链接导入、文档解析、分块、向量化、pgvector 检索、DeepSeek SSE 流式问答、引用溯源、审计日志与费用统计。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2"/>
        </w:rPr>
        <w:t>3 技术栈总览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DDEBFF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层级</w:t>
            </w:r>
          </w:p>
        </w:tc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DDEBFF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技术</w:t>
            </w:r>
          </w:p>
        </w:tc>
        <w:tc>
          <w:tcPr>
            <w:tcW w:type="dxa" w:w="45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DDEBFF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前端</w:t>
            </w:r>
          </w:p>
        </w:tc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Next.js + TypeScript</w:t>
            </w:r>
          </w:p>
        </w:tc>
        <w:tc>
          <w:tcPr>
            <w:tcW w:type="dxa" w:w="45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采用前后端分离方式，业务 API 全部由 FastAPI 后端提供。前端负责页面、状态管理、SSE 展示与 API 调用。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样式</w:t>
            </w:r>
          </w:p>
        </w:tc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Tailwind CSS + shadcn/ui</w:t>
            </w:r>
          </w:p>
        </w:tc>
        <w:tc>
          <w:tcPr>
            <w:tcW w:type="dxa" w:w="45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整体外观简约，浅蓝色低饱和，组件基于 Radix UI。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后端</w:t>
            </w:r>
          </w:p>
        </w:tc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Python + FastAPI</w:t>
            </w:r>
          </w:p>
        </w:tc>
        <w:tc>
          <w:tcPr>
            <w:tcW w:type="dxa" w:w="45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负责鉴权、业务 API、文档入库、RAG 检索、模型调用与审计。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数据库</w:t>
            </w:r>
          </w:p>
        </w:tc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PostgreSQL + pgvector</w:t>
            </w:r>
          </w:p>
        </w:tc>
        <w:tc>
          <w:tcPr>
            <w:tcW w:type="dxa" w:w="45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关系数据和向量数据统一存储。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文件存储</w:t>
            </w:r>
          </w:p>
        </w:tc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本地磁盘</w:t>
            </w:r>
          </w:p>
        </w:tc>
        <w:tc>
          <w:tcPr>
            <w:tcW w:type="dxa" w:w="45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文件存储和缓存保存在项目工作目录下，后续可替换为 MinIO。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模型</w:t>
            </w:r>
          </w:p>
        </w:tc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DeepSeek API</w:t>
            </w:r>
          </w:p>
        </w:tc>
        <w:tc>
          <w:tcPr>
            <w:tcW w:type="dxa" w:w="45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兼容 OpenAI 接口；真实密钥通过环境变量配置，不写入仓库。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流式传输</w:t>
            </w:r>
          </w:p>
        </w:tc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Server-Sent Events</w:t>
            </w:r>
          </w:p>
        </w:tc>
        <w:tc>
          <w:tcPr>
            <w:tcW w:type="dxa" w:w="45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FastAPI StreamingResponse 返回增量回答。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异步任务</w:t>
            </w:r>
          </w:p>
        </w:tc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FastAPI BackgroundTasks</w:t>
            </w:r>
          </w:p>
        </w:tc>
        <w:tc>
          <w:tcPr>
            <w:tcW w:type="dxa" w:w="45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第一版先用轻量方案，后续可升级 Celery + Redis。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部署</w:t>
            </w:r>
          </w:p>
        </w:tc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Docker Compose</w:t>
            </w:r>
          </w:p>
        </w:tc>
        <w:tc>
          <w:tcPr>
            <w:tcW w:type="dxa" w:w="45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第一版支持单机部署，后续可接 Caddy 提供 HTTPS。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2"/>
        </w:rPr>
        <w:t>4 目录结构规范</w:t>
      </w:r>
    </w:p>
    <w:p>
      <w:pPr>
        <w:spacing w:line="288" w:lineRule="auto" w:after="120"/>
      </w:pPr>
      <w:r>
        <w:rPr>
          <w:rFonts w:ascii="Microsoft YaHei" w:hAnsi="Microsoft YaHei" w:eastAsia="Microsoft YaHei"/>
          <w:b w:val="0"/>
          <w:color w:val="000000"/>
          <w:sz w:val="21"/>
        </w:rPr>
        <w:t>前后端代码统一放入 AGENTS.md 指定的代码根目录。原始框架文本中“前端放在根目录”和“建议移入 frontend 子目录”存在轻微冲突，本整理稿采用更清晰的 frontend 子目录方式，根目录保留项目级配置和文档。</w:t>
      </w:r>
    </w:p>
    <w:p>
      <w:pPr>
        <w:spacing w:after="60"/>
      </w:pPr>
      <w:r>
        <w:rPr>
          <w:rFonts w:ascii="Consolas" w:hAnsi="Consolas" w:eastAsia="Microsoft YaHei"/>
          <w:sz w:val="18"/>
        </w:rPr>
        <w:t>Enterprise-Knowledge-Base-RAG-Q-A-Operations-Project/</w:t>
      </w:r>
      <w:r>
        <w:br/>
      </w:r>
      <w:r>
        <w:rPr>
          <w:rFonts w:ascii="Consolas" w:hAnsi="Consolas" w:eastAsia="Microsoft YaHei"/>
          <w:sz w:val="18"/>
        </w:rPr>
        <w:t>├── README.md</w:t>
      </w:r>
      <w:r>
        <w:br/>
      </w:r>
      <w:r>
        <w:rPr>
          <w:rFonts w:ascii="Consolas" w:hAnsi="Consolas" w:eastAsia="Microsoft YaHei"/>
          <w:sz w:val="18"/>
        </w:rPr>
        <w:t>├── AGENTS.md</w:t>
      </w:r>
      <w:r>
        <w:br/>
      </w:r>
      <w:r>
        <w:rPr>
          <w:rFonts w:ascii="Consolas" w:hAnsi="Consolas" w:eastAsia="Microsoft YaHei"/>
          <w:sz w:val="18"/>
        </w:rPr>
        <w:t>├── .env.example</w:t>
      </w:r>
      <w:r>
        <w:br/>
      </w:r>
      <w:r>
        <w:rPr>
          <w:rFonts w:ascii="Consolas" w:hAnsi="Consolas" w:eastAsia="Microsoft YaHei"/>
          <w:sz w:val="18"/>
        </w:rPr>
        <w:t>├── .gitignore</w:t>
      </w:r>
      <w:r>
        <w:br/>
      </w:r>
      <w:r>
        <w:rPr>
          <w:rFonts w:ascii="Consolas" w:hAnsi="Consolas" w:eastAsia="Microsoft YaHei"/>
          <w:sz w:val="18"/>
        </w:rPr>
        <w:t>├── frontend/</w:t>
      </w:r>
      <w:r>
        <w:br/>
      </w:r>
      <w:r>
        <w:rPr>
          <w:rFonts w:ascii="Consolas" w:hAnsi="Consolas" w:eastAsia="Microsoft YaHei"/>
          <w:sz w:val="18"/>
        </w:rPr>
        <w:t>│   ├── app/</w:t>
      </w:r>
      <w:r>
        <w:br/>
      </w:r>
      <w:r>
        <w:rPr>
          <w:rFonts w:ascii="Consolas" w:hAnsi="Consolas" w:eastAsia="Microsoft YaHei"/>
          <w:sz w:val="18"/>
        </w:rPr>
        <w:t>│   ├── components/</w:t>
      </w:r>
      <w:r>
        <w:br/>
      </w:r>
      <w:r>
        <w:rPr>
          <w:rFonts w:ascii="Consolas" w:hAnsi="Consolas" w:eastAsia="Microsoft YaHei"/>
          <w:sz w:val="18"/>
        </w:rPr>
        <w:t>│   ├── lib/</w:t>
      </w:r>
      <w:r>
        <w:br/>
      </w:r>
      <w:r>
        <w:rPr>
          <w:rFonts w:ascii="Consolas" w:hAnsi="Consolas" w:eastAsia="Microsoft YaHei"/>
          <w:sz w:val="18"/>
        </w:rPr>
        <w:t>│   ├── hooks/</w:t>
      </w:r>
      <w:r>
        <w:br/>
      </w:r>
      <w:r>
        <w:rPr>
          <w:rFonts w:ascii="Consolas" w:hAnsi="Consolas" w:eastAsia="Microsoft YaHei"/>
          <w:sz w:val="18"/>
        </w:rPr>
        <w:t>│   ├── types/</w:t>
      </w:r>
      <w:r>
        <w:br/>
      </w:r>
      <w:r>
        <w:rPr>
          <w:rFonts w:ascii="Consolas" w:hAnsi="Consolas" w:eastAsia="Microsoft YaHei"/>
          <w:sz w:val="18"/>
        </w:rPr>
        <w:t>│   ├── styles/</w:t>
      </w:r>
      <w:r>
        <w:br/>
      </w:r>
      <w:r>
        <w:rPr>
          <w:rFonts w:ascii="Consolas" w:hAnsi="Consolas" w:eastAsia="Microsoft YaHei"/>
          <w:sz w:val="18"/>
        </w:rPr>
        <w:t>│   ├── package.json</w:t>
      </w:r>
      <w:r>
        <w:br/>
      </w:r>
      <w:r>
        <w:rPr>
          <w:rFonts w:ascii="Consolas" w:hAnsi="Consolas" w:eastAsia="Microsoft YaHei"/>
          <w:sz w:val="18"/>
        </w:rPr>
        <w:t>│   ├── tailwind.config.js</w:t>
      </w:r>
      <w:r>
        <w:br/>
      </w:r>
      <w:r>
        <w:rPr>
          <w:rFonts w:ascii="Consolas" w:hAnsi="Consolas" w:eastAsia="Microsoft YaHei"/>
          <w:sz w:val="18"/>
        </w:rPr>
        <w:t>│   ├── tsconfig.json</w:t>
      </w:r>
      <w:r>
        <w:br/>
      </w:r>
      <w:r>
        <w:rPr>
          <w:rFonts w:ascii="Consolas" w:hAnsi="Consolas" w:eastAsia="Microsoft YaHei"/>
          <w:sz w:val="18"/>
        </w:rPr>
        <w:t>│   └── next.config.js</w:t>
      </w:r>
      <w:r>
        <w:br/>
      </w:r>
      <w:r>
        <w:rPr>
          <w:rFonts w:ascii="Consolas" w:hAnsi="Consolas" w:eastAsia="Microsoft YaHei"/>
          <w:sz w:val="18"/>
        </w:rPr>
        <w:t>├── backend/</w:t>
      </w:r>
      <w:r>
        <w:br/>
      </w:r>
      <w:r>
        <w:rPr>
          <w:rFonts w:ascii="Consolas" w:hAnsi="Consolas" w:eastAsia="Microsoft YaHei"/>
          <w:sz w:val="18"/>
        </w:rPr>
        <w:t>│   ├── .venv/</w:t>
      </w:r>
      <w:r>
        <w:br/>
      </w:r>
      <w:r>
        <w:rPr>
          <w:rFonts w:ascii="Consolas" w:hAnsi="Consolas" w:eastAsia="Microsoft YaHei"/>
          <w:sz w:val="18"/>
        </w:rPr>
        <w:t>│   ├── app/</w:t>
      </w:r>
      <w:r>
        <w:br/>
      </w:r>
      <w:r>
        <w:rPr>
          <w:rFonts w:ascii="Consolas" w:hAnsi="Consolas" w:eastAsia="Microsoft YaHei"/>
          <w:sz w:val="18"/>
        </w:rPr>
        <w:t>│   │   ├── main.py</w:t>
      </w:r>
      <w:r>
        <w:br/>
      </w:r>
      <w:r>
        <w:rPr>
          <w:rFonts w:ascii="Consolas" w:hAnsi="Consolas" w:eastAsia="Microsoft YaHei"/>
          <w:sz w:val="18"/>
        </w:rPr>
        <w:t>│   │   ├── core/</w:t>
      </w:r>
      <w:r>
        <w:br/>
      </w:r>
      <w:r>
        <w:rPr>
          <w:rFonts w:ascii="Consolas" w:hAnsi="Consolas" w:eastAsia="Microsoft YaHei"/>
          <w:sz w:val="18"/>
        </w:rPr>
        <w:t>│   │   ├── models/</w:t>
      </w:r>
      <w:r>
        <w:br/>
      </w:r>
      <w:r>
        <w:rPr>
          <w:rFonts w:ascii="Consolas" w:hAnsi="Consolas" w:eastAsia="Microsoft YaHei"/>
          <w:sz w:val="18"/>
        </w:rPr>
        <w:t>│   │   ├── schemas/</w:t>
      </w:r>
      <w:r>
        <w:br/>
      </w:r>
      <w:r>
        <w:rPr>
          <w:rFonts w:ascii="Consolas" w:hAnsi="Consolas" w:eastAsia="Microsoft YaHei"/>
          <w:sz w:val="18"/>
        </w:rPr>
        <w:t>│   │   ├── api/</w:t>
      </w:r>
      <w:r>
        <w:br/>
      </w:r>
      <w:r>
        <w:rPr>
          <w:rFonts w:ascii="Consolas" w:hAnsi="Consolas" w:eastAsia="Microsoft YaHei"/>
          <w:sz w:val="18"/>
        </w:rPr>
        <w:t>│   │   ├── services/</w:t>
      </w:r>
      <w:r>
        <w:br/>
      </w:r>
      <w:r>
        <w:rPr>
          <w:rFonts w:ascii="Consolas" w:hAnsi="Consolas" w:eastAsia="Microsoft YaHei"/>
          <w:sz w:val="18"/>
        </w:rPr>
        <w:t>│   │   ├── utils/</w:t>
      </w:r>
      <w:r>
        <w:br/>
      </w:r>
      <w:r>
        <w:rPr>
          <w:rFonts w:ascii="Consolas" w:hAnsi="Consolas" w:eastAsia="Microsoft YaHei"/>
          <w:sz w:val="18"/>
        </w:rPr>
        <w:t>│   │   └── dependencies.py</w:t>
      </w:r>
      <w:r>
        <w:br/>
      </w:r>
      <w:r>
        <w:rPr>
          <w:rFonts w:ascii="Consolas" w:hAnsi="Consolas" w:eastAsia="Microsoft YaHei"/>
          <w:sz w:val="18"/>
        </w:rPr>
        <w:t>│   ├── uploads/</w:t>
      </w:r>
      <w:r>
        <w:br/>
      </w:r>
      <w:r>
        <w:rPr>
          <w:rFonts w:ascii="Consolas" w:hAnsi="Consolas" w:eastAsia="Microsoft YaHei"/>
          <w:sz w:val="18"/>
        </w:rPr>
        <w:t>│   ├── requirements.txt</w:t>
      </w:r>
      <w:r>
        <w:br/>
      </w:r>
      <w:r>
        <w:rPr>
          <w:rFonts w:ascii="Consolas" w:hAnsi="Consolas" w:eastAsia="Microsoft YaHei"/>
          <w:sz w:val="18"/>
        </w:rPr>
        <w:t>│   ├── Dockerfile</w:t>
      </w:r>
      <w:r>
        <w:br/>
      </w:r>
      <w:r>
        <w:rPr>
          <w:rFonts w:ascii="Consolas" w:hAnsi="Consolas" w:eastAsia="Microsoft YaHei"/>
          <w:sz w:val="18"/>
        </w:rPr>
        <w:t>│   └── .env</w:t>
      </w:r>
      <w:r>
        <w:br/>
      </w:r>
      <w:r>
        <w:rPr>
          <w:rFonts w:ascii="Consolas" w:hAnsi="Consolas" w:eastAsia="Microsoft YaHei"/>
          <w:sz w:val="18"/>
        </w:rPr>
        <w:t>├── docs/</w:t>
      </w:r>
      <w:r>
        <w:br/>
      </w:r>
      <w:r>
        <w:rPr>
          <w:rFonts w:ascii="Consolas" w:hAnsi="Consolas" w:eastAsia="Microsoft YaHei"/>
          <w:sz w:val="18"/>
        </w:rPr>
        <w:t>│   ├── api_reference.md</w:t>
      </w:r>
      <w:r>
        <w:br/>
      </w:r>
      <w:r>
        <w:rPr>
          <w:rFonts w:ascii="Consolas" w:hAnsi="Consolas" w:eastAsia="Microsoft YaHei"/>
          <w:sz w:val="18"/>
        </w:rPr>
        <w:t>│   ├── database_er.md</w:t>
      </w:r>
      <w:r>
        <w:br/>
      </w:r>
      <w:r>
        <w:rPr>
          <w:rFonts w:ascii="Consolas" w:hAnsi="Consolas" w:eastAsia="Microsoft YaHei"/>
          <w:sz w:val="18"/>
        </w:rPr>
        <w:t>│   └── development_framework.md</w:t>
      </w:r>
      <w:r>
        <w:br/>
      </w:r>
      <w:r>
        <w:rPr>
          <w:rFonts w:ascii="Consolas" w:hAnsi="Consolas" w:eastAsia="Microsoft YaHei"/>
          <w:sz w:val="18"/>
        </w:rPr>
        <w:t>└── docker-compose.yml</w:t>
      </w:r>
      <w:r>
        <w:br/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2"/>
        </w:rPr>
        <w:t>5 环境配置规范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6"/>
        </w:rPr>
        <w:t>5.1 后端虚拟环境</w:t>
      </w:r>
    </w:p>
    <w:p>
      <w:pPr>
        <w:spacing w:line="288" w:lineRule="auto" w:after="120"/>
      </w:pPr>
      <w:r>
        <w:rPr>
          <w:rFonts w:ascii="Microsoft YaHei" w:hAnsi="Microsoft YaHei" w:eastAsia="Microsoft YaHei"/>
          <w:b w:val="0"/>
          <w:color w:val="000000"/>
          <w:sz w:val="21"/>
        </w:rPr>
        <w:t>开发使用 Python .venv 管理，并使用 requirements.txt 记录依赖。首次创建虚拟环境必须使用 AGENTS.md 指定命令。</w:t>
      </w:r>
    </w:p>
    <w:p>
      <w:pPr>
        <w:spacing w:after="60"/>
      </w:pPr>
      <w:r>
        <w:rPr>
          <w:rFonts w:ascii="Consolas" w:hAnsi="Consolas" w:eastAsia="Microsoft YaHei"/>
          <w:sz w:val="18"/>
        </w:rPr>
        <w:t>cd backend</w:t>
      </w:r>
      <w:r>
        <w:br/>
      </w:r>
      <w:r>
        <w:rPr>
          <w:rFonts w:ascii="Consolas" w:hAnsi="Consolas" w:eastAsia="Microsoft YaHei"/>
          <w:sz w:val="18"/>
        </w:rPr>
        <w:t>python -m venv --prompt=EKBRQAO .venv</w:t>
      </w:r>
      <w:r>
        <w:br/>
      </w:r>
      <w:r>
        <w:rPr>
          <w:rFonts w:ascii="Consolas" w:hAnsi="Consolas" w:eastAsia="Microsoft YaHei"/>
          <w:sz w:val="18"/>
        </w:rPr>
        <w:t>.venv\Scripts\Activate.ps1</w:t>
      </w:r>
      <w:r>
        <w:br/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6"/>
        </w:rPr>
        <w:t>5.2 环境变量</w:t>
      </w:r>
    </w:p>
    <w:p>
      <w:pPr>
        <w:spacing w:line="288" w:lineRule="auto" w:after="120"/>
      </w:pPr>
      <w:r>
        <w:rPr>
          <w:rFonts w:ascii="Microsoft YaHei" w:hAnsi="Microsoft YaHei" w:eastAsia="Microsoft YaHei"/>
          <w:b w:val="0"/>
          <w:color w:val="000000"/>
          <w:sz w:val="21"/>
        </w:rPr>
        <w:t>AI 不自动设置环境变量。真实 API Key、App Secret、JWT Secret 等敏感信息只允许放在本地 .env 或用户手动配置的环境变量中，不得提交到仓库。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55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DDEBFF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变量名</w:t>
            </w:r>
          </w:p>
        </w:tc>
        <w:tc>
          <w:tcPr>
            <w:tcW w:type="dxa" w:w="2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DDEBFF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示例值</w:t>
            </w:r>
          </w:p>
        </w:tc>
        <w:tc>
          <w:tcPr>
            <w:tcW w:type="dxa" w:w="311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DDEBFF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说明</w:t>
            </w:r>
          </w:p>
        </w:tc>
      </w:tr>
      <w:tr>
        <w:tc>
          <w:tcPr>
            <w:tcW w:type="dxa" w:w="255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DATABASE_URL</w:t>
            </w:r>
          </w:p>
        </w:tc>
        <w:tc>
          <w:tcPr>
            <w:tcW w:type="dxa" w:w="2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postgresql://postgres:password@localhost:5432/rag_db</w:t>
            </w:r>
          </w:p>
        </w:tc>
        <w:tc>
          <w:tcPr>
            <w:tcW w:type="dxa" w:w="311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数据库连接。</w:t>
            </w:r>
          </w:p>
        </w:tc>
      </w:tr>
      <w:tr>
        <w:tc>
          <w:tcPr>
            <w:tcW w:type="dxa" w:w="255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DEEPSEEK_API_KEY</w:t>
            </w:r>
          </w:p>
        </w:tc>
        <w:tc>
          <w:tcPr>
            <w:tcW w:type="dxa" w:w="2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sk-xxxxx</w:t>
            </w:r>
          </w:p>
        </w:tc>
        <w:tc>
          <w:tcPr>
            <w:tcW w:type="dxa" w:w="311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DeepSeek API Key，本文件仅保留占位符。</w:t>
            </w:r>
          </w:p>
        </w:tc>
      </w:tr>
      <w:tr>
        <w:tc>
          <w:tcPr>
            <w:tcW w:type="dxa" w:w="255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DEEPSEEK_BASE_URL</w:t>
            </w:r>
          </w:p>
        </w:tc>
        <w:tc>
          <w:tcPr>
            <w:tcW w:type="dxa" w:w="2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https://api.deepseek.com/v1</w:t>
            </w:r>
          </w:p>
        </w:tc>
        <w:tc>
          <w:tcPr>
            <w:tcW w:type="dxa" w:w="311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DeepSeek OpenAI 兼容接口地址。</w:t>
            </w:r>
          </w:p>
        </w:tc>
      </w:tr>
      <w:tr>
        <w:tc>
          <w:tcPr>
            <w:tcW w:type="dxa" w:w="255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DEEPSEEK_MODEL</w:t>
            </w:r>
          </w:p>
        </w:tc>
        <w:tc>
          <w:tcPr>
            <w:tcW w:type="dxa" w:w="2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deepseek-chat</w:t>
            </w:r>
          </w:p>
        </w:tc>
        <w:tc>
          <w:tcPr>
            <w:tcW w:type="dxa" w:w="311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第一版默认模型。</w:t>
            </w:r>
          </w:p>
        </w:tc>
      </w:tr>
      <w:tr>
        <w:tc>
          <w:tcPr>
            <w:tcW w:type="dxa" w:w="255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SECRET_KEY</w:t>
            </w:r>
          </w:p>
        </w:tc>
        <w:tc>
          <w:tcPr>
            <w:tcW w:type="dxa" w:w="2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your-secret-key-here</w:t>
            </w:r>
          </w:p>
        </w:tc>
        <w:tc>
          <w:tcPr>
            <w:tcW w:type="dxa" w:w="311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JWT 签名密钥。</w:t>
            </w:r>
          </w:p>
        </w:tc>
      </w:tr>
      <w:tr>
        <w:tc>
          <w:tcPr>
            <w:tcW w:type="dxa" w:w="255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ACCESS_TOKEN_EXPIRE_MINUTES</w:t>
            </w:r>
          </w:p>
        </w:tc>
        <w:tc>
          <w:tcPr>
            <w:tcW w:type="dxa" w:w="2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30</w:t>
            </w:r>
          </w:p>
        </w:tc>
        <w:tc>
          <w:tcPr>
            <w:tcW w:type="dxa" w:w="311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登录 token 有效期。</w:t>
            </w:r>
          </w:p>
        </w:tc>
      </w:tr>
      <w:tr>
        <w:tc>
          <w:tcPr>
            <w:tcW w:type="dxa" w:w="255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UPLOAD_DIR</w:t>
            </w:r>
          </w:p>
        </w:tc>
        <w:tc>
          <w:tcPr>
            <w:tcW w:type="dxa" w:w="2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./backend/uploads</w:t>
            </w:r>
          </w:p>
        </w:tc>
        <w:tc>
          <w:tcPr>
            <w:tcW w:type="dxa" w:w="311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上传文件保存路径。</w:t>
            </w:r>
          </w:p>
        </w:tc>
      </w:tr>
      <w:tr>
        <w:tc>
          <w:tcPr>
            <w:tcW w:type="dxa" w:w="255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MAX_FILE_SIZE_MB</w:t>
            </w:r>
          </w:p>
        </w:tc>
        <w:tc>
          <w:tcPr>
            <w:tcW w:type="dxa" w:w="2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311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单文件大小限制。</w:t>
            </w:r>
          </w:p>
        </w:tc>
      </w:tr>
      <w:tr>
        <w:tc>
          <w:tcPr>
            <w:tcW w:type="dxa" w:w="255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CORS_ORIGINS</w:t>
            </w:r>
          </w:p>
        </w:tc>
        <w:tc>
          <w:tcPr>
            <w:tcW w:type="dxa" w:w="2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["http://localhost:3000"]</w:t>
            </w:r>
          </w:p>
        </w:tc>
        <w:tc>
          <w:tcPr>
            <w:tcW w:type="dxa" w:w="311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允许访问后端的前端地址。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2"/>
        </w:rPr>
        <w:t>6 核心数据表设计</w:t>
      </w:r>
    </w:p>
    <w:p>
      <w:pPr>
        <w:spacing w:line="288" w:lineRule="auto" w:after="120"/>
      </w:pPr>
      <w:r>
        <w:rPr>
          <w:rFonts w:ascii="Microsoft YaHei" w:hAnsi="Microsoft YaHei" w:eastAsia="Microsoft YaHei"/>
          <w:b w:val="0"/>
          <w:color w:val="000000"/>
          <w:sz w:val="21"/>
        </w:rPr>
        <w:t>所有涉及权限边界的数据表必须包含 department_id，或通过 knowledge_base_id 关联到部门。检索时必须在 SQL 层添加部门过滤，不能只依赖前端隐藏。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81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DDEBFF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表名</w:t>
            </w:r>
          </w:p>
        </w:tc>
        <w:tc>
          <w:tcPr>
            <w:tcW w:type="dxa" w:w="408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DDEBFF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关键字段</w:t>
            </w:r>
          </w:p>
        </w:tc>
        <w:tc>
          <w:tcPr>
            <w:tcW w:type="dxa" w:w="26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DDEBFF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departments</w:t>
            </w:r>
          </w:p>
        </w:tc>
        <w:tc>
          <w:tcPr>
            <w:tcW w:type="dxa" w:w="408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id, name, description, created_at</w:t>
            </w:r>
          </w:p>
        </w:tc>
        <w:tc>
          <w:tcPr>
            <w:tcW w:type="dxa" w:w="26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部门信息。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users</w:t>
            </w:r>
          </w:p>
        </w:tc>
        <w:tc>
          <w:tcPr>
            <w:tcW w:type="dxa" w:w="408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id, username, email, hashed_password, full_name, role, department_id, is_active, created_at</w:t>
            </w:r>
          </w:p>
        </w:tc>
        <w:tc>
          <w:tcPr>
            <w:tcW w:type="dxa" w:w="26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用户与角色信息。role 采用 super_admin、dept_admin、user。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knowledge_bases</w:t>
            </w:r>
          </w:p>
        </w:tc>
        <w:tc>
          <w:tcPr>
            <w:tcW w:type="dxa" w:w="408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id, name, description, department_id, created_by, created_at</w:t>
            </w:r>
          </w:p>
        </w:tc>
        <w:tc>
          <w:tcPr>
            <w:tcW w:type="dxa" w:w="26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知识库元数据，第一版不设全局知识库，保持部门强隔离。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documents</w:t>
            </w:r>
          </w:p>
        </w:tc>
        <w:tc>
          <w:tcPr>
            <w:tcW w:type="dxa" w:w="408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id, knowledge_base_id, department_id, file_name, file_type, file_path, status, chunk_count, uploaded_by, created_at, updated_at</w:t>
            </w:r>
          </w:p>
        </w:tc>
        <w:tc>
          <w:tcPr>
            <w:tcW w:type="dxa" w:w="26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文档元数据与解析状态。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document_chunks</w:t>
            </w:r>
          </w:p>
        </w:tc>
        <w:tc>
          <w:tcPr>
            <w:tcW w:type="dxa" w:w="408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id, document_id, knowledge_base_id, department_id, chunk_index, content, content_hash, embedding, metadata_json, source_type, source_url, page_number, created_at</w:t>
            </w:r>
          </w:p>
        </w:tc>
        <w:tc>
          <w:tcPr>
            <w:tcW w:type="dxa" w:w="26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检索与引用溯源的最小单元。删除文档时级联删除。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chat_sessions</w:t>
            </w:r>
          </w:p>
        </w:tc>
        <w:tc>
          <w:tcPr>
            <w:tcW w:type="dxa" w:w="408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id, user_id, knowledge_base_id, department_id, title, created_at, updated_at</w:t>
            </w:r>
          </w:p>
        </w:tc>
        <w:tc>
          <w:tcPr>
            <w:tcW w:type="dxa" w:w="26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问答会话。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chat_messages</w:t>
            </w:r>
          </w:p>
        </w:tc>
        <w:tc>
          <w:tcPr>
            <w:tcW w:type="dxa" w:w="408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id, session_id, role, content, retrieved_chunks, tokens_used, created_at</w:t>
            </w:r>
          </w:p>
        </w:tc>
        <w:tc>
          <w:tcPr>
            <w:tcW w:type="dxa" w:w="26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问答消息和召回片段。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api_usage_logs</w:t>
            </w:r>
          </w:p>
        </w:tc>
        <w:tc>
          <w:tcPr>
            <w:tcW w:type="dxa" w:w="408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id, user_id, action, input_tokens, output_tokens, total_tokens, model_used, response_time_ms, status, error_msg, timestamp</w:t>
            </w:r>
          </w:p>
        </w:tc>
        <w:tc>
          <w:tcPr>
            <w:tcW w:type="dxa" w:w="26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API 使用量、费用和错误审计。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2"/>
        </w:rPr>
        <w:t>7 后端模块边界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DDEBFF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模块</w:t>
            </w:r>
          </w:p>
        </w:tc>
        <w:tc>
          <w:tcPr>
            <w:tcW w:type="dxa" w:w="39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DDEBFF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职责</w:t>
            </w:r>
          </w:p>
        </w:tc>
        <w:tc>
          <w:tcPr>
            <w:tcW w:type="dxa" w:w="2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DDEBFF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主要接口或调用方式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auth</w:t>
            </w:r>
          </w:p>
        </w:tc>
        <w:tc>
          <w:tcPr>
            <w:tcW w:type="dxa" w:w="39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登录、JWT 签发、用户验证、角色权限。</w:t>
            </w:r>
          </w:p>
        </w:tc>
        <w:tc>
          <w:tcPr>
            <w:tcW w:type="dxa" w:w="2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/auth/login, /auth/me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kb</w:t>
            </w:r>
          </w:p>
        </w:tc>
        <w:tc>
          <w:tcPr>
            <w:tcW w:type="dxa" w:w="39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知识库 CRUD 和部门关联。</w:t>
            </w:r>
          </w:p>
        </w:tc>
        <w:tc>
          <w:tcPr>
            <w:tcW w:type="dxa" w:w="2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/kb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documents</w:t>
            </w:r>
          </w:p>
        </w:tc>
        <w:tc>
          <w:tcPr>
            <w:tcW w:type="dxa" w:w="39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文档元数据管理、状态查询、删除级联。</w:t>
            </w:r>
          </w:p>
        </w:tc>
        <w:tc>
          <w:tcPr>
            <w:tcW w:type="dxa" w:w="2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/documents, /documents/{id}/status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ingestion</w:t>
            </w:r>
          </w:p>
        </w:tc>
        <w:tc>
          <w:tcPr>
            <w:tcW w:type="dxa" w:w="39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文件上传、公开飞书链接导入。</w:t>
            </w:r>
          </w:p>
        </w:tc>
        <w:tc>
          <w:tcPr>
            <w:tcW w:type="dxa" w:w="2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/upload/file, /upload/link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parser</w:t>
            </w:r>
          </w:p>
        </w:tc>
        <w:tc>
          <w:tcPr>
            <w:tcW w:type="dxa" w:w="39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PDF、Word、Excel、公开飞书链接解析。</w:t>
            </w:r>
          </w:p>
        </w:tc>
        <w:tc>
          <w:tcPr>
            <w:tcW w:type="dxa" w:w="2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内部服务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chunker</w:t>
            </w:r>
          </w:p>
        </w:tc>
        <w:tc>
          <w:tcPr>
            <w:tcW w:type="dxa" w:w="39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文本清洗、分块、hash 去重。</w:t>
            </w:r>
          </w:p>
        </w:tc>
        <w:tc>
          <w:tcPr>
            <w:tcW w:type="dxa" w:w="2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内部服务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embedding</w:t>
            </w:r>
          </w:p>
        </w:tc>
        <w:tc>
          <w:tcPr>
            <w:tcW w:type="dxa" w:w="39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生成向量并写入 pgvector。</w:t>
            </w:r>
          </w:p>
        </w:tc>
        <w:tc>
          <w:tcPr>
            <w:tcW w:type="dxa" w:w="2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内部服务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retrieval</w:t>
            </w:r>
          </w:p>
        </w:tc>
        <w:tc>
          <w:tcPr>
            <w:tcW w:type="dxa" w:w="39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向量检索、权限过滤、可选关键词补充。</w:t>
            </w:r>
          </w:p>
        </w:tc>
        <w:tc>
          <w:tcPr>
            <w:tcW w:type="dxa" w:w="2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内部服务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chat</w:t>
            </w:r>
          </w:p>
        </w:tc>
        <w:tc>
          <w:tcPr>
            <w:tcW w:type="dxa" w:w="39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问题接收、检索、prompt 组装、DeepSeek 调用、SSE 返回。</w:t>
            </w:r>
          </w:p>
        </w:tc>
        <w:tc>
          <w:tcPr>
            <w:tcW w:type="dxa" w:w="2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/chat/stream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audit</w:t>
            </w:r>
          </w:p>
        </w:tc>
        <w:tc>
          <w:tcPr>
            <w:tcW w:type="dxa" w:w="39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记录问答日志、token 消耗和错误。</w:t>
            </w:r>
          </w:p>
        </w:tc>
        <w:tc>
          <w:tcPr>
            <w:tcW w:type="dxa" w:w="2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内部服务或中间件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admin</w:t>
            </w:r>
          </w:p>
        </w:tc>
        <w:tc>
          <w:tcPr>
            <w:tcW w:type="dxa" w:w="396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用户管理、部门管理、角色分配。</w:t>
            </w:r>
          </w:p>
        </w:tc>
        <w:tc>
          <w:tcPr>
            <w:tcW w:type="dxa" w:w="2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/admin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2"/>
        </w:rPr>
        <w:t>8 前端页面结构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9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DDEBFF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页面</w:t>
            </w:r>
          </w:p>
        </w:tc>
        <w:tc>
          <w:tcPr>
            <w:tcW w:type="dxa" w:w="42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DDEBFF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核心内容</w:t>
            </w:r>
          </w:p>
        </w:tc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DDEBFF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备注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登录页</w:t>
            </w:r>
          </w:p>
        </w:tc>
        <w:tc>
          <w:tcPr>
            <w:tcW w:type="dxa" w:w="42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账号、密码、登录按钮、演示环境说明。</w:t>
            </w:r>
          </w:p>
        </w:tc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登录成功后进入知识库或问答工作台。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知识库列表页</w:t>
            </w:r>
          </w:p>
        </w:tc>
        <w:tc>
          <w:tcPr>
            <w:tcW w:type="dxa" w:w="42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知识库卡片、文档数量、解析状态、进入问答、新建知识库。</w:t>
            </w:r>
          </w:p>
        </w:tc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普通用户仅看到授权知识库。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文档上传与解析页</w:t>
            </w:r>
          </w:p>
        </w:tc>
        <w:tc>
          <w:tcPr>
            <w:tcW w:type="dxa" w:w="42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知识库选择、文件上传、公开飞书链接导入、解析状态列表、失败重试。</w:t>
            </w:r>
          </w:p>
        </w:tc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单文件不超过 10MB。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知识库问答页</w:t>
            </w:r>
          </w:p>
        </w:tc>
        <w:tc>
          <w:tcPr>
            <w:tcW w:type="dxa" w:w="42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知识库单选、历史会话、对话窗口、SSE 流式回答、引用来源面板。</w:t>
            </w:r>
          </w:p>
        </w:tc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第一版不支持多知识库同时问答。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问答历史页</w:t>
            </w:r>
          </w:p>
        </w:tc>
        <w:tc>
          <w:tcPr>
            <w:tcW w:type="dxa" w:w="42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会话列表、问题摘要、召回文档、token 消耗。</w:t>
            </w:r>
          </w:p>
        </w:tc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普通用户看个人，管理员按部门查看。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系统管理页</w:t>
            </w:r>
          </w:p>
        </w:tc>
        <w:tc>
          <w:tcPr>
            <w:tcW w:type="dxa" w:w="42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用户管理、部门管理、角色权限、审计日志。</w:t>
            </w:r>
          </w:p>
        </w:tc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超级管理员和部门管理员权限不同。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2"/>
        </w:rPr>
        <w:t>9 MVP 迭代计划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24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DDEBFF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阶段</w:t>
            </w:r>
          </w:p>
        </w:tc>
        <w:tc>
          <w:tcPr>
            <w:tcW w:type="dxa" w:w="243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DDEBFF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内容</w:t>
            </w:r>
          </w:p>
        </w:tc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DDEBFF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交付物</w:t>
            </w:r>
          </w:p>
        </w:tc>
        <w:tc>
          <w:tcPr>
            <w:tcW w:type="dxa" w:w="243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DDEBFF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验收标准</w:t>
            </w:r>
          </w:p>
        </w:tc>
      </w:tr>
      <w:tr>
        <w:tc>
          <w:tcPr>
            <w:tcW w:type="dxa" w:w="124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阶段 1</w:t>
            </w:r>
          </w:p>
        </w:tc>
        <w:tc>
          <w:tcPr>
            <w:tcW w:type="dxa" w:w="243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用户、部门、权限基础框架。</w:t>
            </w:r>
          </w:p>
        </w:tc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JWT 登录、部门 CRUD、角色枚举。</w:t>
            </w:r>
          </w:p>
        </w:tc>
        <w:tc>
          <w:tcPr>
            <w:tcW w:type="dxa" w:w="243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能登录并获得 token，未授权访问受保护路由返回 401。</w:t>
            </w:r>
          </w:p>
        </w:tc>
      </w:tr>
      <w:tr>
        <w:tc>
          <w:tcPr>
            <w:tcW w:type="dxa" w:w="124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阶段 2</w:t>
            </w:r>
          </w:p>
        </w:tc>
        <w:tc>
          <w:tcPr>
            <w:tcW w:type="dxa" w:w="243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知识库与文件上传。</w:t>
            </w:r>
          </w:p>
        </w:tc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知识库 CRUD、文件上传接口、本地保存、状态标记。</w:t>
            </w:r>
          </w:p>
        </w:tc>
        <w:tc>
          <w:tcPr>
            <w:tcW w:type="dxa" w:w="243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上传文件后返回 document_id，状态为 pending。</w:t>
            </w:r>
          </w:p>
        </w:tc>
      </w:tr>
      <w:tr>
        <w:tc>
          <w:tcPr>
            <w:tcW w:type="dxa" w:w="124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阶段 3</w:t>
            </w:r>
          </w:p>
        </w:tc>
        <w:tc>
          <w:tcPr>
            <w:tcW w:type="dxa" w:w="243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文档解析、分块、向量入库。</w:t>
            </w:r>
          </w:p>
        </w:tc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parser、chunker、embedding、pgvector 写入。</w:t>
            </w:r>
          </w:p>
        </w:tc>
        <w:tc>
          <w:tcPr>
            <w:tcW w:type="dxa" w:w="243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上传后后台完成解析，chunk 表有数据。</w:t>
            </w:r>
          </w:p>
        </w:tc>
      </w:tr>
      <w:tr>
        <w:tc>
          <w:tcPr>
            <w:tcW w:type="dxa" w:w="124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阶段 4</w:t>
            </w:r>
          </w:p>
        </w:tc>
        <w:tc>
          <w:tcPr>
            <w:tcW w:type="dxa" w:w="243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问答检索和 DeepSeek SSE 流式输出。</w:t>
            </w:r>
          </w:p>
        </w:tc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/chat/stream、权限过滤、引用来源。</w:t>
            </w:r>
          </w:p>
        </w:tc>
        <w:tc>
          <w:tcPr>
            <w:tcW w:type="dxa" w:w="243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提问后 SSE 增量返回回答，并附带 retrieved_chunks。</w:t>
            </w:r>
          </w:p>
        </w:tc>
      </w:tr>
      <w:tr>
        <w:tc>
          <w:tcPr>
            <w:tcW w:type="dxa" w:w="124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阶段 5</w:t>
            </w:r>
          </w:p>
        </w:tc>
        <w:tc>
          <w:tcPr>
            <w:tcW w:type="dxa" w:w="243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引用来源、历史记录、费用统计、部署文档。</w:t>
            </w:r>
          </w:p>
        </w:tc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前端引用展示、历史页面、审计看板、Docker Compose。</w:t>
            </w:r>
          </w:p>
        </w:tc>
        <w:tc>
          <w:tcPr>
            <w:tcW w:type="dxa" w:w="243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完成端到端演示，可本地一键启动。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2"/>
        </w:rPr>
        <w:t>10 Agent 执行规则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0"/>
        </w:rPr>
        <w:t>每次开发前先说明修改范围。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0"/>
        </w:rPr>
        <w:t>涉及数据库结构必须同步更新 migration。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0"/>
        </w:rPr>
        <w:t>涉及 API 必须同步更新接口文档。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0"/>
        </w:rPr>
        <w:t>涉及 RAG 逻辑必须补充最小测试样例。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0"/>
        </w:rPr>
        <w:t>不得硬编码 API Key、App Secret、JWT Secret 等敏感信息。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0"/>
        </w:rPr>
        <w:t>所有知识库查询必须在后端和 SQL 层执行部门权限过滤。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0"/>
        </w:rPr>
        <w:t>不要重构无关代码，不要修改与当前任务无关的文件。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0"/>
        </w:rPr>
        <w:t>开发过程中涉及删除本项目根目录以外的文件，必须先询问用户。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2"/>
        </w:rPr>
        <w:t>11 与 AGENTS.md 的一致性修正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DDEBFF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原框架内容</w:t>
            </w:r>
          </w:p>
        </w:tc>
        <w:tc>
          <w:tcPr>
            <w:tcW w:type="dxa" w:w="2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DDEBFF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规范化处理</w:t>
            </w:r>
          </w:p>
        </w:tc>
        <w:tc>
          <w:tcPr>
            <w:tcW w:type="dxa" w:w="2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DDEBFF"/>
          </w:tcPr>
          <w:p>
            <w:pPr>
              <w:spacing w:line="276" w:lineRule="auto" w:after="4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依据</w:t>
            </w:r>
          </w:p>
        </w:tc>
      </w:tr>
      <w:tr>
        <w:tc>
          <w:tcPr>
            <w:tcW w:type="dxa" w:w="2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后端虚拟环境提示符为 EQAO。</w:t>
            </w:r>
          </w:p>
        </w:tc>
        <w:tc>
          <w:tcPr>
            <w:tcW w:type="dxa" w:w="2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统一改为 EKBRQAO。</w:t>
            </w:r>
          </w:p>
        </w:tc>
        <w:tc>
          <w:tcPr>
            <w:tcW w:type="dxa" w:w="2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AGENTS.md 明确要求 python -m venv --prompt=EKBRQAO .venv。</w:t>
            </w:r>
          </w:p>
        </w:tc>
      </w:tr>
      <w:tr>
        <w:tc>
          <w:tcPr>
            <w:tcW w:type="dxa" w:w="2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知识库 department_id 可为空表示全局。</w:t>
            </w:r>
          </w:p>
        </w:tc>
        <w:tc>
          <w:tcPr>
            <w:tcW w:type="dxa" w:w="2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第一版不设置全局知识库，保持部门强隔离。</w:t>
            </w:r>
          </w:p>
        </w:tc>
        <w:tc>
          <w:tcPr>
            <w:tcW w:type="dxa" w:w="2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AGENTS.md 要求部门间强隔离。</w:t>
            </w:r>
          </w:p>
        </w:tc>
      </w:tr>
      <w:tr>
        <w:tc>
          <w:tcPr>
            <w:tcW w:type="dxa" w:w="2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前端可放根目录或 frontend。</w:t>
            </w:r>
          </w:p>
        </w:tc>
        <w:tc>
          <w:tcPr>
            <w:tcW w:type="dxa" w:w="2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统一采用 frontend 子目录。</w:t>
            </w:r>
          </w:p>
        </w:tc>
        <w:tc>
          <w:tcPr>
            <w:tcW w:type="dxa" w:w="2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便于前后端分离和根目录整洁。</w:t>
            </w:r>
          </w:p>
        </w:tc>
      </w:tr>
      <w:tr>
        <w:tc>
          <w:tcPr>
            <w:tcW w:type="dxa" w:w="2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第一版不实现 OCR。</w:t>
            </w:r>
          </w:p>
        </w:tc>
        <w:tc>
          <w:tcPr>
            <w:tcW w:type="dxa" w:w="2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保留扫描 PDF 支持要求，作为第一版能力之一。</w:t>
            </w:r>
          </w:p>
        </w:tc>
        <w:tc>
          <w:tcPr>
            <w:tcW w:type="dxa" w:w="2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7FBFF"/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AGENTS.md 写明第一版支持扫描 PDF。</w:t>
            </w:r>
          </w:p>
        </w:tc>
      </w:tr>
      <w:tr>
        <w:tc>
          <w:tcPr>
            <w:tcW w:type="dxa" w:w="2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环境变量示例包含密钥占位符。</w:t>
            </w:r>
          </w:p>
        </w:tc>
        <w:tc>
          <w:tcPr>
            <w:tcW w:type="dxa" w:w="2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仅保留占位符，不记录真实密钥。</w:t>
            </w:r>
          </w:p>
        </w:tc>
        <w:tc>
          <w:tcPr>
            <w:tcW w:type="dxa" w:w="28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line="276" w:lineRule="auto"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AGENTS.md 要求不硬编码、不提交密钥。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2"/>
        </w:rPr>
        <w:t>12 后续开发启动建议</w:t>
      </w:r>
    </w:p>
    <w:p>
      <w:pPr>
        <w:spacing w:line="288" w:lineRule="auto" w:after="120"/>
      </w:pPr>
      <w:r>
        <w:rPr>
          <w:rFonts w:ascii="Microsoft YaHei" w:hAnsi="Microsoft YaHei" w:eastAsia="Microsoft YaHei"/>
          <w:b w:val="0"/>
          <w:color w:val="000000"/>
          <w:sz w:val="21"/>
        </w:rPr>
        <w:t>下一步建议先搭建前端页面骨架和项目目录，再逐步接入后端 API。由于当前用户要求先完成业务前端页面，开发时应优先实现登录页、知识库列表页、文档上传与解析页、知识库问答页、问答历史页和系统管理页的静态及交互状态，并保留 API 客户端层用于后续对接 FastAPI。</w:t>
      </w:r>
    </w:p>
    <w:sectPr w:rsidR="00FC693F" w:rsidRPr="0006063C" w:rsidSect="00034616">
      <w:pgSz w:w="12240" w:h="15840"/>
      <w:pgMar w:top="1191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