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Answer Key - Start Here</w:t>
      </w:r>
    </w:p>
    <w:p>
      <w:r>
        <w:rPr>
          <w:rFonts w:ascii="Nunito" w:hAnsi="Nunito" w:eastAsia="Nunito" w:cs="Nunito"/>
          <w:i/>
          <w:color w:val="666666"/>
          <w:sz w:val="24"/>
        </w:rPr>
        <w:t>Facilitator reference for data inconsistencies and expected deliverables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GBF Case Key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ANSWER KEY - FACILITATOR ONLY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This folder is for facilitators, buddies and assessors only. Do not distribute to participants. It consolidates the case key: data inconsistencies (Workflow B), document contradictions, expected deliverables under the A↔B evidence loop (Estate → Demand → Plan → R/FM), and solution paths.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Lenses we are testing (never tell participants)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Efficiency versus ethics: growth, targets and placement metrics against dignity, quality and who gets left behind.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Empathy versus outside-in: recommendations grounded in beneficiary voices versus solving for people whose context the team has not taken seriously.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Active querying: B briefs the data estate; A states demand; B owns the analysis plan; A learns material inconsistencies only through Findings Memos (correct by design).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Files in this folder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60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01_Data_Inconsistencies_Register.pdf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Every dataset and document inconsistency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02_Expected_Deliverables_and_Outcomes.pdf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What excellent work looks like per deliverable</w:t>
            </w:r>
          </w:p>
        </w:tc>
      </w:tr>
      <w:tr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03_Strategic_Solution_Paths.pdf</w:t>
            </w:r>
          </w:p>
        </w:tc>
        <w:tc>
          <w:tcPr>
            <w:tcW w:type="dxa" w:w="4608"/>
          </w:tcPr>
          <w:p>
            <w:r>
              <w:rPr>
                <w:rFonts w:ascii="Nunito" w:hAnsi="Nunito" w:eastAsia="Nunito" w:cs="Nunito"/>
                <w:sz w:val="20"/>
              </w:rPr>
              <w:t>Defensible recommendation paths and red lines</w:t>
            </w:r>
          </w:p>
        </w:tc>
      </w:tr>
      <w:tr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Data_Inconsistencies_Register.xlsx</w:t>
            </w:r>
          </w:p>
        </w:tc>
        <w:tc>
          <w:tcPr>
            <w:tcW w:type="dxa" w:w="460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Searchable register for marking and debrief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How to use this pack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Before Week 1: read the data inconsistencies register so you know what teams should find.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During marking: use Expected Deliverables for criterion-level judgement (including the online Handoff Checklist standard).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In debrief: reveal that multiple solution paths were valid (see document 03).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Operational facilitation remains in Facilitators/ (buddy hints, rubric, kickoff logistics, debrief flow). Do not distribute Answer_Key or Facilitators to participants.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