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Lexend" w:hAnsi="Lexend" w:eastAsia="Lexend" w:cs="Lexend"/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rFonts w:ascii="Lexend" w:hAnsi="Lexend" w:eastAsia="Lexend" w:cs="Lexend"/>
          <w:b/>
          <w:color w:val="1B2A4A"/>
          <w:sz w:val="48"/>
        </w:rPr>
        <w:t>Assessment Rubric</w:t>
      </w:r>
    </w:p>
    <w:p>
      <w:r>
        <w:rPr>
          <w:rFonts w:ascii="Nunito" w:hAnsi="Nunito" w:eastAsia="Nunito" w:cs="Nunito"/>
          <w:i/>
          <w:color w:val="666666"/>
          <w:sz w:val="24"/>
        </w:rPr>
        <w:t>100 points - descriptors and point bands per level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Document reference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pack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FACILITATOR ONLY - do not distribute</w:t>
            </w:r>
          </w:p>
        </w:tc>
      </w:tr>
      <w:tr>
        <w:tc>
          <w:tcPr>
            <w:tcW w:type="dxa" w:w="2592"/>
          </w:tcPr>
          <w:p>
            <w:r>
              <w:rPr>
                <w:rFonts w:ascii="Nunito" w:hAnsi="Nunito" w:eastAsia="Nunito" w:cs="Nunito"/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rFonts w:ascii="Nunito" w:hAnsi="Nunito" w:eastAsia="Nunito" w:cs="Nunito"/>
                <w:color w:val="222222"/>
                <w:sz w:val="20"/>
              </w:rPr>
              <w:t>3.1 | July-September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Score each criterion against the descriptors. Point bands below make Excellent / Good / Satisfactory / Poor concrete. These bands are expected scales; Core Team may announce refinements without changing the criterion weights without notice.</w:t>
      </w:r>
    </w:p>
    <w:p>
      <w:pPr>
        <w:pStyle w:val="Heading2"/>
      </w:pPr>
      <w:r>
        <w:rPr>
          <w:rFonts w:ascii="Lexend" w:hAnsi="Lexend" w:eastAsia="Lexend" w:cs="Lexend"/>
          <w:color w:val="1B2A4A"/>
        </w:rPr>
        <w:t>How to convert a level to points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For a criterion worth P points: Excellent = 85-100% of P; Good = 70-84%; Satisfactory = 50-69%; Poor = 0-49%. Round to the nearest whole point.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Criterion max (P)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016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172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13-15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11-12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8-10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0-7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20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17-20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14-16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10-13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0-9</w:t>
            </w:r>
          </w:p>
        </w:tc>
      </w:tr>
      <w:tr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9-10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7-8</w:t>
            </w:r>
          </w:p>
        </w:tc>
        <w:tc>
          <w:tcPr>
            <w:tcW w:type="dxa" w:w="2016"/>
          </w:tcPr>
          <w:p>
            <w:r>
              <w:rPr>
                <w:rFonts w:ascii="Nunito" w:hAnsi="Nunito" w:eastAsia="Nunito" w:cs="Nunito"/>
                <w:sz w:val="20"/>
              </w:rPr>
              <w:t>5-6</w:t>
            </w:r>
          </w:p>
        </w:tc>
        <w:tc>
          <w:tcPr>
            <w:tcW w:type="dxa" w:w="1728"/>
          </w:tcPr>
          <w:p>
            <w:r>
              <w:rPr>
                <w:rFonts w:ascii="Nunito" w:hAnsi="Nunito" w:eastAsia="Nunito" w:cs="Nunito"/>
                <w:sz w:val="20"/>
              </w:rPr>
              <w:t>0-4</w:t>
            </w:r>
          </w:p>
        </w:tc>
      </w:tr>
      <w:tr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5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4</w:t>
            </w:r>
          </w:p>
        </w:tc>
        <w:tc>
          <w:tcPr>
            <w:tcW w:type="dxa" w:w="2016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3</w:t>
            </w:r>
          </w:p>
        </w:tc>
        <w:tc>
          <w:tcPr>
            <w:tcW w:type="dxa" w:w="1728"/>
            <w:shd w:val="clear" w:color="auto" w:fill="F2F4F7"/>
          </w:tcPr>
          <w:p>
            <w:r>
              <w:rPr>
                <w:rFonts w:ascii="Nunito" w:hAnsi="Nunito" w:eastAsia="Nunito" w:cs="Nunito"/>
                <w:sz w:val="20"/>
              </w:rPr>
              <w:t>0-2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Problem understanding (15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Precise, MECE issue tree; hypotheses imply clear asks for B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Solid framing; minor gaps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Generic framing; some overlap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Misreads the problem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Research quality (10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Sources triangulated; citations include section/speaker; contradictions resolved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Most sources used well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Uses sources uncritically or cites code only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Ignores or misuses sources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Design thinking (15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Evidence-based empathy and journey maps grounded in specific voices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Competent maps and ideation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Mechanical, thin on evidence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Superficial or missing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Data analysis and translation (20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Clean data; honest definitions; Findings Memos in plain language; limitations stated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Mostly sound; small errors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Basic analysis; weak translation to A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Errors, raw-file sharing, or misleading charts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Recommendations (20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Distinct options; Request IDs cited; costs of preferred path named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Reasonable, mostly supported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Vague or weakly supported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Unsupported or infeasible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Presentation (10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Answer-first storyline; every slide earns its place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Clear and mostly disciplined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Some data-dumping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Disorganised or decorative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Project management (5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Request Log, RACI, file naming, version control all maintained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Mostly maintained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Patchy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Absent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Teamwork and cross-workflow exchange (5 points)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448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Excellent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Good</w:t>
            </w:r>
          </w:p>
        </w:tc>
        <w:tc>
          <w:tcPr>
            <w:tcW w:type="dxa" w:w="2304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Satisfactory</w:t>
            </w:r>
          </w:p>
        </w:tc>
        <w:tc>
          <w:tcPr>
            <w:tcW w:type="dxa" w:w="2160"/>
            <w:shd w:val="clear" w:color="auto" w:fill="1B2A4A"/>
          </w:tcPr>
          <w:p>
            <w:r>
              <w:rPr>
                <w:rFonts w:ascii="Lexend" w:hAnsi="Lexend" w:eastAsia="Lexend" w:cs="Lexend"/>
                <w:b/>
                <w:color w:val="FFFFFF"/>
                <w:sz w:val="20"/>
              </w:rPr>
              <w:t>Poor</w:t>
            </w:r>
          </w:p>
        </w:tc>
      </w:tr>
      <w:tr>
        <w:tc>
          <w:tcPr>
            <w:tcW w:type="dxa" w:w="2448"/>
          </w:tcPr>
          <w:p>
            <w:r>
              <w:rPr>
                <w:rFonts w:ascii="Nunito" w:hAnsi="Nunito" w:eastAsia="Nunito" w:cs="Nunito"/>
                <w:sz w:val="20"/>
              </w:rPr>
              <w:t>Estate→Demand→Plan→R/FM trail in A_B_Exchange/; Handoff online-confirmed (Sections A-C)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Good collaboration; loop mostly complete</w:t>
            </w:r>
          </w:p>
        </w:tc>
        <w:tc>
          <w:tcPr>
            <w:tcW w:type="dxa" w:w="2304"/>
          </w:tcPr>
          <w:p>
            <w:r>
              <w:rPr>
                <w:rFonts w:ascii="Nunito" w:hAnsi="Nunito" w:eastAsia="Nunito" w:cs="Nunito"/>
                <w:sz w:val="20"/>
              </w:rPr>
              <w:t>Uneven contribution or skipped Estate/Demand/Plan; thin handoff ticks</w:t>
            </w:r>
          </w:p>
        </w:tc>
        <w:tc>
          <w:tcPr>
            <w:tcW w:type="dxa" w:w="2160"/>
          </w:tcPr>
          <w:p>
            <w:r>
              <w:rPr>
                <w:rFonts w:ascii="Nunito" w:hAnsi="Nunito" w:eastAsia="Nunito" w:cs="Nunito"/>
                <w:sz w:val="20"/>
              </w:rPr>
              <w:t>Free-riding, A/B bypass, raw-file share, or missing handoff PDF</w:t>
            </w:r>
          </w:p>
        </w:tc>
      </w:tr>
    </w:tbl>
    <w:p/>
    <w:p>
      <w:pPr>
        <w:pStyle w:val="Heading2"/>
      </w:pPr>
      <w:r>
        <w:rPr>
          <w:rFonts w:ascii="Lexend" w:hAnsi="Lexend" w:eastAsia="Lexend" w:cs="Lexend"/>
          <w:color w:val="1B2A4A"/>
        </w:rPr>
        <w:t>Sample answers</w:t>
      </w:r>
    </w:p>
    <w:p>
      <w:pPr>
        <w:spacing w:after="120"/>
      </w:pPr>
      <w:r>
        <w:rPr>
          <w:rFonts w:ascii="Nunito" w:hAnsi="Nunito" w:eastAsia="Nunito" w:cs="Nunito"/>
          <w:b w:val="0"/>
          <w:i w:val="0"/>
          <w:color w:val="222222"/>
          <w:sz w:val="22"/>
        </w:rPr>
        <w:t>There is no single model answer. Use Answer_Key/ for expected findings, solution paths, and deliverable standards. Reward reasoning that names costs, not a particular destination.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unito" w:hAnsi="Nunito" w:eastAsia="Nunito" w:cs="Nunito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