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Problem Statement and Issue Tree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2"/>
      </w:pPr>
      <w:r>
        <w:rPr>
          <w:rFonts w:ascii="Lexend" w:hAnsi="Lexend" w:eastAsia="Lexend" w:cs="Lexend"/>
          <w:color w:val="1B2A4A"/>
        </w:rPr>
        <w:t>Problem / decision statement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In one precise sentence, state the decision the Board must make. Use your own words. Copying or lightly editing the engagement letter is not enough.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Issue tree (MECE)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Invent the top-level branches from the evidence in the data room. Sub-questions at each level must be mutually exclusive and collectively exhaustive. Do not force the tree into a pre-set list of topics.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Branch (your label)</w:t>
            </w:r>
          </w:p>
        </w:tc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Sub-questions</w:t>
            </w:r>
          </w:p>
        </w:tc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Testable hypothesis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Sources</w:t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0"/>
        </w:rPr>
        <w:t>Sources column: cite transcript CODE (Speaker) and/or document Ref + section (e.g. D-02 §1; BN-02 Tuan). Do not leave Sources blank for any hypothesis you intend to test.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Hypotheses to test (each should imply an Analysis Request)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H1: ________________________________________________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 xml:space="preserve">    Sources: ________________________________________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 xml:space="preserve">    Possible ask to Workflow B: 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H2: ________________________________________________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 xml:space="preserve">    Sources: ________________________________________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 xml:space="preserve">    Possible ask to Workflow B: 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H3: ________________________________________________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 xml:space="preserve">    Sources: ________________________________________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 xml:space="preserve">    Possible ask to Workflow B: 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H4: ________________________________________________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 xml:space="preserve">    Sources: ________________________________________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 xml:space="preserve">    Possible ask to Workflow B: ________________________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