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Answer Key - Start Here</w:t>
      </w:r>
    </w:p>
    <w:p>
      <w:r>
        <w:rPr>
          <w:i/>
          <w:color w:val="666666"/>
          <w:sz w:val="24"/>
        </w:rPr>
        <w:t>Facilitator reference for data inconsistencies and expected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This folder is for facilitators, buddies and assessors only. Do not distribute to participants. It consolidates the case key: data inconsistencies (Workflow B), document contradictions, expected deliverables under the asymmetric request protocol, and solution paths.</w:t>
      </w:r>
    </w:p>
    <w:p>
      <w:pPr>
        <w:pStyle w:val="Heading1"/>
      </w:pPr>
      <w:r>
        <w:rPr>
          <w:rFonts w:ascii="Calibri" w:hAnsi="Calibri"/>
          <w:color w:val="1B2A4A"/>
        </w:rPr>
        <w:t>Lenses we are testing (never tell participants)</w:t>
      </w:r>
    </w:p>
    <w:p>
      <w:pPr>
        <w:pStyle w:val="ListBullet"/>
        <w:ind w:left="360"/>
      </w:pPr>
      <w:r>
        <w:rPr>
          <w:rFonts w:ascii="Calibri" w:hAnsi="Calibri"/>
        </w:rPr>
        <w:t>Efficiency versus ethics: growth, targets and placement metrics against dignity, quality and who gets left behind.</w:t>
      </w:r>
    </w:p>
    <w:p>
      <w:pPr>
        <w:pStyle w:val="ListBullet"/>
        <w:ind w:left="360"/>
      </w:pPr>
      <w:r>
        <w:rPr>
          <w:rFonts w:ascii="Calibri" w:hAnsi="Calibri"/>
        </w:rPr>
        <w:t>Empathy versus outside-in: recommendations grounded in beneficiary voices versus solving for people whose context the team has not taken seriously.</w:t>
      </w:r>
    </w:p>
    <w:p>
      <w:pPr>
        <w:pStyle w:val="ListBullet"/>
        <w:ind w:left="360"/>
      </w:pPr>
      <w:r>
        <w:rPr>
          <w:rFonts w:ascii="Calibri" w:hAnsi="Calibri"/>
        </w:rPr>
        <w:t>Active querying: A must invent the ask; B must translate. A learning material inconsistencies only through Findings Memos is correct by design.</w:t>
      </w:r>
    </w:p>
    <w:p>
      <w:pPr>
        <w:pStyle w:val="Heading1"/>
      </w:pPr>
      <w:r>
        <w:rPr>
          <w:rFonts w:ascii="Calibri" w:hAnsi="Calibri"/>
          <w:color w:val="1B2A4A"/>
        </w:rPr>
        <w:t>Files in this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01_Data_Inconsistencies_Register.pdf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Every dataset and document inconsistency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02_Expected_Deliverables_and_Outcomes.pdf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What excellent work looks like per deliverable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03_Strategic_Solution_Paths.pdf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Defensible recommendation paths and red lines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Data_Inconsistencies_Register.xlsx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sz w:val="20"/>
              </w:rPr>
              <w:t>Searchable register for marking and debrief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A"/>
        </w:rPr>
        <w:t>How to use this pack</w:t>
      </w:r>
    </w:p>
    <w:p>
      <w:pPr>
        <w:pStyle w:val="ListNumber"/>
        <w:ind w:left="360"/>
      </w:pPr>
      <w:r>
        <w:rPr>
          <w:rFonts w:ascii="Calibri" w:hAnsi="Calibri"/>
        </w:rPr>
        <w:t>Before Week 1: read the data inconsistencies register so you know what teams should find.</w:t>
      </w:r>
    </w:p>
    <w:p>
      <w:pPr>
        <w:pStyle w:val="ListNumber"/>
        <w:ind w:left="360"/>
      </w:pPr>
      <w:r>
        <w:rPr>
          <w:rFonts w:ascii="Calibri" w:hAnsi="Calibri"/>
        </w:rPr>
        <w:t>During marking: use Expected Deliverables for criterion-level judgement.</w:t>
      </w:r>
    </w:p>
    <w:p>
      <w:pPr>
        <w:pStyle w:val="ListNumber"/>
        <w:ind w:left="360"/>
      </w:pPr>
      <w:r>
        <w:rPr>
          <w:rFonts w:ascii="Calibri" w:hAnsi="Calibri"/>
        </w:rPr>
        <w:t>In debrief: reveal that multiple solution paths were valid (see document 03).</w:t>
      </w:r>
    </w:p>
    <w:p>
      <w:pPr>
        <w:pStyle w:val="ListNumber"/>
        <w:ind w:left="360"/>
      </w:pPr>
      <w:r>
        <w:rPr>
          <w:rFonts w:ascii="Calibri" w:hAnsi="Calibri"/>
        </w:rPr>
        <w:t>Operational facilitation remains in Facilitators/ (buddy hints, rubric, debrief flow).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