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Data Inconsistencies Register</w:t>
      </w:r>
    </w:p>
    <w:p>
      <w:r>
        <w:rPr>
          <w:i/>
          <w:color w:val="666666"/>
          <w:sz w:val="24"/>
        </w:rPr>
        <w:t>Complete list of built-in errors and document contradictions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Teams earn credit for finding these, documenting their response, and triangulating with client documents and transcripts. None should be ignored.</w:t>
      </w:r>
    </w:p>
    <w:p>
      <w:pPr>
        <w:pStyle w:val="Heading1"/>
      </w:pPr>
      <w:r>
        <w:rPr>
          <w:rFonts w:ascii="Calibri" w:hAnsi="Calibri"/>
          <w:color w:val="1B2A4A"/>
        </w:rPr>
        <w:t>Part 1 - Dataset inconsistencies (GBF_Datasets.xlsx - Workflow B only)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A should only learn material issues through Findings Memos. Mark down if A opens the raw file or if B dumps the cleaning log without translation.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86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Ref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What teams should see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Expected handling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DC-01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Duplicate beneficiary IDs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Two rows share an ID with different province values (one shows 'HCMC').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De-duplicate before any count; keep the most complete record and log the decision.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DC-02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Mixed date formats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All tables with dates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Same field uses dd/mm/yyyy, yyyy-mm-dd and dd-mm-yyyy interchangeably.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Standardise to one format before joins; document the rule in the assumption log.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DC-03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Inconsistent placement coding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employment_outcomes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placed_90d uses Y, Yes, 1, N, No, 0 and blank for the same meaning.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Map to a single binary flag; treat blank as missing, not 'not placed'.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DC-04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Inconsistent attendance coding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programme_attendance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attended uses Y, N, 1 and 0.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Normalise to 1/0 before calculating attendance rates.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DC-05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Impossible age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Record GBF-2025-10417 has a date of birth implying age ~42.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Flag as data error; exclude from age analysis or correct with documented assumption.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DC-06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Wage typo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employment_outcomes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Record GBF-2025-10417 shows wage_vnd_monthly = 99,999,999 (notes field flags error).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Investigate; exclude or cap for wage averages; never report uncorrected.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DC-07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Missing ethnicity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Roughly 18% of ethnicity fields are blank.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Report missingness; do not impute without stating why.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DC-08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Missing disability flag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beneficiary_registry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Roughly 5% of disability_status fields are blank.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Treat as unknown; compare Y-only rate with and without unknowns.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DC-09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Province label mismatch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beneficiary_registry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Same hub appears as 'Ho Chi Minh City' and 'HCMC'.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Create a lookup table; never double-count provinces.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DC-10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Dong Nai cost double-entry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hub_costs_2025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September 2025 for hub DN appears twice with identical totals.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Remove duplicate row before summing hub costs.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DC-11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Hours on inactive mentor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volunteer_hours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Mentor M-099 is marked Inactive but has logged hours.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Exclude inactive-mentor hours from DB-4 or justify inclusion.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DC-12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Text-formatted funding amount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funding_by_source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UK aid / FCDO 2025-Q3 amount_vnd_m stored as text with a thousands comma.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Convert to number before SUM; note in data quality report.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DC-13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Sample vs organisation totals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All tables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Export covers ~520 beneficiaries; handbook cites 2,847 served in 2025.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State sample limitation in every analysis; do not extrapolate to org totals.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A"/>
        </w:rPr>
        <w:t>Part 2 - Document and narrative contradictions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86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Ref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Sources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Contradiction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What strong teams do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DC-D01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Placement rate definition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D-01 vs D-02 vs ST-02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D-01 public report: 71% within 90 days (broad: includes gig work &gt;=15 hrs/week). ST-02: formal contract rate closer to 63%. D-02 says Pathway Digital reporting was generous.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Teams must state which definition they use and report both where possible.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DC-D02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Pathway Digital completion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D-02 vs D-01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Donor-facing figure 68%; true completers/ starters = 52% (wrong denominator).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Strong teams catch this and discuss reputational risk.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DC-D03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Dong Nai performance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D-02, ST-01, ST-05, EP-02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Internship drop-out 38% vs org average 22%; transport and employer quality cited.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Dashboard should show DN below 65%; recommendations must address DN if scaling.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DC-D04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Disability gap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ST-03 vs D-01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Reported disability share ~6%; population nearer 9%. Placement ~49% vs 71% overall.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Mark down if disability breakdown is missing from analysis or recommendations.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DC-D05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Board email thread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D-08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Forwarded anonymously; unverified; politically motivated opinions.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Use for stakeholder sentiment only; triangulate with transcripts.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DC-D06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YouthWorks threat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D-10 vs ST-04 vs ST-05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Development says overstated; field staff see waitlist leakage in Binh Duong border districts.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No single truth; evidence-based judgement required.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DC-D07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VPBank conditions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D-03 vs DN-01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65% at 90 days required; DN-01 open to quality-focused alternative but not open-ended delay.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Funding scenarios must stress-test the 65% condition honestly.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DC-D08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60-day reporting proposal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ST-04 vs D-03 vs DN-01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Anh Duc suggests early measurement; contract and donor say 90 days is primary.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Recommending 60-day reporting as primary metric is a red line.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DC-D09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Long An pilot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D-02, ST-01, BD-01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~60% drop-out; board member T.N. pushes expansion for political reasons.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Scaling to Long An without fixing the model is a common weak answer.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sz w:val="20"/>
              </w:rPr>
              <w:t>DC-D10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Social enterprise conflict</w:t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  <w:t>D-12, EP-01</w:t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  <w:t>GBF Staffing Solutions earns placement fees from same employers who take interns.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Strong teams surface the conflict in trade-off reflection or options; it is not labelled for them.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A"/>
        </w:rPr>
        <w:t>Part 3 - Expected quantitative patterns (after cleaning)</w:t>
      </w:r>
    </w:p>
    <w:p>
      <w:pPr>
        <w:pStyle w:val="ListBullet"/>
        <w:ind w:left="360"/>
      </w:pPr>
      <w:r>
        <w:rPr>
          <w:rFonts w:ascii="Calibri" w:hAnsi="Calibri"/>
        </w:rPr>
        <w:t>Dong Nai hub placement rate clearly below HCMC hubs (target: flag below 65%).</w:t>
      </w:r>
    </w:p>
    <w:p>
      <w:pPr>
        <w:pStyle w:val="ListBullet"/>
        <w:ind w:left="360"/>
      </w:pPr>
      <w:r>
        <w:rPr>
          <w:rFonts w:ascii="Calibri" w:hAnsi="Calibri"/>
        </w:rPr>
        <w:t>Long An and Pathway Digital underperform Skills Forward on placement.</w:t>
      </w:r>
    </w:p>
    <w:p>
      <w:pPr>
        <w:pStyle w:val="ListBullet"/>
        <w:ind w:left="360"/>
      </w:pPr>
      <w:r>
        <w:rPr>
          <w:rFonts w:ascii="Calibri" w:hAnsi="Calibri"/>
        </w:rPr>
        <w:t>Broad placement rate roughly 8 points above formal-only rate (aligns with ST-02).</w:t>
      </w:r>
    </w:p>
    <w:p>
      <w:pPr>
        <w:pStyle w:val="ListBullet"/>
        <w:ind w:left="360"/>
      </w:pPr>
      <w:r>
        <w:rPr>
          <w:rFonts w:ascii="Calibri" w:hAnsi="Calibri"/>
        </w:rPr>
        <w:t>Disability placement gap of ~20+ points vs overall (aligns with ST-03).</w:t>
      </w:r>
    </w:p>
    <w:p>
      <w:pPr>
        <w:pStyle w:val="ListBullet"/>
        <w:ind w:left="360"/>
      </w:pPr>
      <w:r>
        <w:rPr>
          <w:rFonts w:ascii="Calibri" w:hAnsi="Calibri"/>
        </w:rPr>
        <w:t>Higher attendance associated with placement, but confounded by transport and motivation.</w:t>
      </w:r>
    </w:p>
    <w:p>
      <w:pPr>
        <w:pStyle w:val="ListBullet"/>
        <w:ind w:left="360"/>
      </w:pPr>
      <w:r>
        <w:rPr>
          <w:rFonts w:ascii="Calibri" w:hAnsi="Calibri"/>
        </w:rPr>
        <w:t>Aggressive growth scenario struggles to meet 65% without selection bias (efficiency vs ethics tension).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