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Strategic Solution Paths</w:t>
      </w:r>
    </w:p>
    <w:p>
      <w:r>
        <w:rPr>
          <w:i/>
          <w:color w:val="666666"/>
          <w:sz w:val="24"/>
        </w:rPr>
        <w:t>Defensible recommendations and marking red lines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GBF Case Key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ANSWER KEY - FACILITATOR ONLY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There is no single correct strategy. Reward evidence-based reasoning. The paths below are strong; weak teams pick a slogan and ignore contradicting evidence.</w:t>
      </w:r>
    </w:p>
    <w:p>
      <w:pPr>
        <w:pStyle w:val="Heading2"/>
      </w:pPr>
      <w:r>
        <w:rPr>
          <w:rFonts w:ascii="Calibri" w:hAnsi="Calibri"/>
          <w:color w:val="1B2A4A"/>
        </w:rPr>
        <w:t>Path A - Depth before scale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Thesis: Pause expansion; fix Dong Nai and employer quality; negotiate a smaller quality-focused VPBank grant.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Strengths: Honest about D-02; addresses EP-02, ST-05, BN-02; sustainable operations.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Risks to probe in Q&amp;A: May leave funding on the table; must convince VPBank with a credible theory of change (DN-01).</w:t>
      </w:r>
    </w:p>
    <w:p>
      <w:pPr>
        <w:pStyle w:val="Heading2"/>
      </w:pPr>
      <w:r>
        <w:rPr>
          <w:rFonts w:ascii="Calibri" w:hAnsi="Calibri"/>
          <w:color w:val="1B2A4A"/>
        </w:rPr>
        <w:t>Path B - Conditional scale (most common strong answer)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Thesis: Accept VPBank but gate expansion behind quality milestones; fix Dong Nai first, then Long An.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Strengths: Balances donor pressure and field reality; stages risk; keeps the grant.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Risks to probe in Q&amp;A: Execution-heavy; requires M&amp;E discipline teams must propose credibly.</w:t>
      </w:r>
    </w:p>
    <w:p>
      <w:pPr>
        <w:pStyle w:val="Heading2"/>
      </w:pPr>
      <w:r>
        <w:rPr>
          <w:rFonts w:ascii="Calibri" w:hAnsi="Calibri"/>
          <w:color w:val="1B2A4A"/>
        </w:rPr>
        <w:t>Path C - Employer-led pivot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Thesis: Audit and certify employers; place only with vetted partners; make quality the brand.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Strengths: Answers EP-02 and ST-05 directly; differentiates from YouthWorks on outcomes not speed.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Risks to probe in Q&amp;A: Slower growth; depends on employer cooperation.</w:t>
      </w:r>
    </w:p>
    <w:p>
      <w:pPr>
        <w:pStyle w:val="Heading2"/>
      </w:pPr>
      <w:r>
        <w:rPr>
          <w:rFonts w:ascii="Calibri" w:hAnsi="Calibri"/>
          <w:color w:val="1B2A4A"/>
        </w:rPr>
        <w:t>Path D - Digital hybrid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Thesis: Grow Pathway Digital for reach; keep Skills Forward for depth and placement quality.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Strengths: Lower unit cost (D-12); addresses waitlist pressure.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Risks to probe in Q&amp;A: Digital placement weaker; equity risk (BN-01); only strong with explicit caveats.</w:t>
      </w:r>
    </w:p>
    <w:p>
      <w:pPr>
        <w:pStyle w:val="Heading1"/>
      </w:pPr>
      <w:r>
        <w:rPr>
          <w:rFonts w:ascii="Calibri" w:hAnsi="Calibri"/>
          <w:color w:val="1B2A4A"/>
        </w:rPr>
        <w:t>Red lines - mark down if recommended</w:t>
      </w:r>
    </w:p>
    <w:p>
      <w:pPr>
        <w:pStyle w:val="ListBullet"/>
        <w:ind w:left="360"/>
      </w:pPr>
      <w:r>
        <w:rPr>
          <w:rFonts w:ascii="Calibri" w:hAnsi="Calibri"/>
        </w:rPr>
        <w:t>Reporting placement at 60 days as the primary metric (contradicts D-03, DN-01).</w:t>
      </w:r>
    </w:p>
    <w:p>
      <w:pPr>
        <w:pStyle w:val="ListBullet"/>
        <w:ind w:left="360"/>
      </w:pPr>
      <w:r>
        <w:rPr>
          <w:rFonts w:ascii="Calibri" w:hAnsi="Calibri"/>
        </w:rPr>
        <w:t>Replacing paid caseworkers with volunteers (contradicts VR-01).</w:t>
      </w:r>
    </w:p>
    <w:p>
      <w:pPr>
        <w:pStyle w:val="ListBullet"/>
        <w:ind w:left="360"/>
      </w:pPr>
      <w:r>
        <w:rPr>
          <w:rFonts w:ascii="Calibri" w:hAnsi="Calibri"/>
        </w:rPr>
        <w:t>National or provincial scale with no plan to fix Dong Nai.</w:t>
      </w:r>
    </w:p>
    <w:p>
      <w:pPr>
        <w:pStyle w:val="ListBullet"/>
        <w:ind w:left="360"/>
      </w:pPr>
      <w:r>
        <w:rPr>
          <w:rFonts w:ascii="Calibri" w:hAnsi="Calibri"/>
        </w:rPr>
        <w:t>Cherry-picking easier-to-place youth to hit 65% without acknowledging the cost.</w:t>
      </w:r>
    </w:p>
    <w:p>
      <w:pPr>
        <w:pStyle w:val="ListBullet"/>
        <w:ind w:left="360"/>
      </w:pPr>
      <w:r>
        <w:rPr>
          <w:rFonts w:ascii="Calibri" w:hAnsi="Calibri"/>
        </w:rPr>
        <w:t>Treating D-08 board emails as verified fact.</w:t>
      </w:r>
    </w:p>
    <w:p>
      <w:pPr>
        <w:pStyle w:val="ListBullet"/>
        <w:ind w:left="360"/>
      </w:pPr>
      <w:r>
        <w:rPr>
          <w:rFonts w:ascii="Calibri" w:hAnsi="Calibri"/>
        </w:rPr>
        <w:t>Claiming attendance causes placement without naming confounders.</w:t>
      </w:r>
    </w:p>
    <w:p>
      <w:pPr>
        <w:pStyle w:val="ListBullet"/>
        <w:ind w:left="360"/>
      </w:pPr>
      <w:r>
        <w:rPr>
          <w:rFonts w:ascii="Calibri" w:hAnsi="Calibri"/>
        </w:rPr>
        <w:t>Workflow A citing operational numbers without Request / Findings IDs.</w:t>
      </w:r>
    </w:p>
    <w:p>
      <w:pPr>
        <w:pStyle w:val="ListBullet"/>
        <w:ind w:left="360"/>
      </w:pPr>
      <w:r>
        <w:rPr>
          <w:rFonts w:ascii="Calibri" w:hAnsi="Calibri"/>
        </w:rPr>
        <w:t>Workflow B sharing the raw workbook with A.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