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Assessment Rubric</w:t>
      </w:r>
    </w:p>
    <w:p>
      <w:r>
        <w:rPr>
          <w:i/>
          <w:color w:val="666666"/>
          <w:sz w:val="24"/>
        </w:rPr>
        <w:t>100 points - descriptors for each level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Document reference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pack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FACILITATOR ONLY - do not distribute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Score each criterion against the descriptors. Weight as shown.</w:t>
      </w:r>
    </w:p>
    <w:p>
      <w:pPr>
        <w:pStyle w:val="Heading2"/>
      </w:pPr>
      <w:r>
        <w:rPr>
          <w:rFonts w:ascii="Calibri" w:hAnsi="Calibri"/>
          <w:color w:val="1B2A4A"/>
        </w:rPr>
        <w:t>Problem understanding (15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Precise, MECE issue tree; hypotheses imply clear asks for B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Solid framing; minor gaps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Generic framing; some overlap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Misreads the problem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Research quality (10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Sources triangulated; credibility assessed; contradictions resolved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Most sources used well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Uses sources uncritically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Ignores or misuses sources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Design thinking (15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Evidence-based empathy and journey maps grounded in specific voices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Competent maps and ideation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Mechanical, thin on evidence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Superficial or missing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Data analysis and translation (20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Clean data; honest definitions; Findings Memos in plain language; limitations stated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Mostly sound; small errors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Basic analysis; weak translation to 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Errors, raw-file sharing, or misleading charts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Recommendations (20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Distinct options; Request IDs cited; costs of preferred path named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Reasonable, mostly supported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Vague or weakly supported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Unsupported or infeasible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Presentation (10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Answer-first storyline; every slide earns its place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Clear and mostly disciplined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Some data-dumping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Disorganised or decorative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Project management (5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Request Log, RACI, version control all maintained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Mostly maintained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Patchy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Absent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Teamwork and cross-workflow exchange (5 points)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44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Excellent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Good</w:t>
            </w:r>
          </w:p>
        </w:tc>
        <w:tc>
          <w:tcPr>
            <w:tcW w:type="dxa" w:w="230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Satisfactory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Poor</w:t>
            </w:r>
          </w:p>
        </w:tc>
      </w:tr>
      <w:tr>
        <w:tc>
          <w:tcPr>
            <w:tcW w:type="dxa" w:w="2448"/>
          </w:tcPr>
          <w:p>
            <w:r>
              <w:rPr>
                <w:sz w:val="20"/>
              </w:rPr>
              <w:t>Genuine request/findings exchange; handoff signed in good faith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Good collaboration</w:t>
            </w:r>
          </w:p>
        </w:tc>
        <w:tc>
          <w:tcPr>
            <w:tcW w:type="dxa" w:w="2304"/>
          </w:tcPr>
          <w:p>
            <w:r>
              <w:rPr>
                <w:sz w:val="20"/>
              </w:rPr>
              <w:t>Uneven contribution or one-way dump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Free-riding or A/B bypass</w:t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