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b/>
          <w:color w:val="1B2A4A"/>
          <w:sz w:val="48"/>
        </w:rPr>
        <w:t>Solution Paths</w:t>
      </w:r>
    </w:p>
    <w:p>
      <w:r>
        <w:rPr>
          <w:i/>
          <w:color w:val="666666"/>
          <w:sz w:val="24"/>
        </w:rPr>
        <w:t>CONFIDENTIAL - there is no single correct answer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Document reference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Facilitator pack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FACILITATOR ONLY - do not distribute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2.0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Reward reasoning, not a particular destination. Strong teams name what their preferred path costs. Weak answers pick one slogan and ignore the evidence against it.</w:t>
      </w:r>
    </w:p>
    <w:p>
      <w:pPr>
        <w:pStyle w:val="Heading2"/>
      </w:pPr>
      <w:r>
        <w:rPr>
          <w:rFonts w:ascii="Calibri" w:hAnsi="Calibri"/>
          <w:color w:val="1B2A4A"/>
        </w:rPr>
        <w:t>Path A - Depth before scale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Thesis: Pause expansion, fix Dong Nai and employer quality, negotiate a smaller quality-focused VPBank grant.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Strengths: Honest about D-02; addresses EP-02 and ST-05; sustainable.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Risks to probe: May leave money on the table; must convince VPBank (see DN-01).</w:t>
      </w:r>
    </w:p>
    <w:p>
      <w:pPr>
        <w:pStyle w:val="Heading2"/>
      </w:pPr>
      <w:r>
        <w:rPr>
          <w:rFonts w:ascii="Calibri" w:hAnsi="Calibri"/>
          <w:color w:val="1B2A4A"/>
        </w:rPr>
        <w:t>Path B - Conditional scale (most common strong answer)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Thesis: Accept VPBank but gate expansion behind quality milestones; fix Dong Nai first, then Long An.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Strengths: Balances DN-01 and BD-01; keeps the grant; stages risk.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Risks to probe: Execution-heavy; needs credible M&amp;E to hold the line.</w:t>
      </w:r>
    </w:p>
    <w:p>
      <w:pPr>
        <w:pStyle w:val="Heading2"/>
      </w:pPr>
      <w:r>
        <w:rPr>
          <w:rFonts w:ascii="Calibri" w:hAnsi="Calibri"/>
          <w:color w:val="1B2A4A"/>
        </w:rPr>
        <w:t>Path C - Employer-led pivot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Thesis: Certify and audit employers; place only with vetted partners; make quality the brand.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Strengths: Directly answers EP-02, ST-05, BN-02; differentiates from YouthWorks.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Risks to probe: Slower growth; needs employer buy-in.</w:t>
      </w:r>
    </w:p>
    <w:p>
      <w:pPr>
        <w:pStyle w:val="Heading2"/>
      </w:pPr>
      <w:r>
        <w:rPr>
          <w:rFonts w:ascii="Calibri" w:hAnsi="Calibri"/>
          <w:color w:val="1B2A4A"/>
        </w:rPr>
        <w:t>Path D - Digital hybrid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Thesis: Grow Pathway Digital for reach, keep Skills Forward for depth.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Strengths: Lower unit cost (D-12); serves waitlist faster.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Risks to probe: Digital placement is weaker; equity risk (BN-01 has no laptop); only valid with caveats.</w:t>
      </w:r>
    </w:p>
    <w:p>
      <w:pPr>
        <w:pStyle w:val="Heading1"/>
      </w:pPr>
      <w:r>
        <w:rPr>
          <w:rFonts w:ascii="Calibri" w:hAnsi="Calibri"/>
          <w:color w:val="1B2A4A"/>
        </w:rPr>
        <w:t>Red lines (mark down if crossed)</w:t>
      </w:r>
    </w:p>
    <w:p>
      <w:pPr>
        <w:pStyle w:val="ListBullet"/>
        <w:ind w:left="360"/>
      </w:pPr>
      <w:r>
        <w:rPr>
          <w:rFonts w:ascii="Calibri" w:hAnsi="Calibri"/>
        </w:rPr>
        <w:t>Recommending 60-day reporting as the primary metric to look better.</w:t>
      </w:r>
    </w:p>
    <w:p>
      <w:pPr>
        <w:pStyle w:val="ListBullet"/>
        <w:ind w:left="360"/>
      </w:pPr>
      <w:r>
        <w:rPr>
          <w:rFonts w:ascii="Calibri" w:hAnsi="Calibri"/>
        </w:rPr>
        <w:t>Replacing caseworkers with volunteers (contradicts VR-01).</w:t>
      </w:r>
    </w:p>
    <w:p>
      <w:pPr>
        <w:pStyle w:val="ListBullet"/>
        <w:ind w:left="360"/>
      </w:pPr>
      <w:r>
        <w:rPr>
          <w:rFonts w:ascii="Calibri" w:hAnsi="Calibri"/>
        </w:rPr>
        <w:t>National scale with no fix for Dong Nai.</w:t>
      </w:r>
    </w:p>
    <w:p>
      <w:pPr>
        <w:pStyle w:val="ListBullet"/>
        <w:ind w:left="360"/>
      </w:pPr>
      <w:r>
        <w:rPr>
          <w:rFonts w:ascii="Calibri" w:hAnsi="Calibri"/>
        </w:rPr>
        <w:t>Cherry-picking easier-to-place youth without acknowledging the cost.</w:t>
      </w:r>
    </w:p>
    <w:p>
      <w:pPr>
        <w:pStyle w:val="ListBullet"/>
        <w:ind w:left="360"/>
      </w:pPr>
      <w:r>
        <w:rPr>
          <w:rFonts w:ascii="Calibri" w:hAnsi="Calibri"/>
        </w:rPr>
        <w:t>Workflow A citing 'the dataset' without Request / Findings IDs.</w:t>
      </w:r>
    </w:p>
    <w:p>
      <w:pPr>
        <w:pStyle w:val="ListBullet"/>
        <w:ind w:left="360"/>
      </w:pPr>
      <w:r>
        <w:rPr>
          <w:rFonts w:ascii="Calibri" w:hAnsi="Calibri"/>
        </w:rPr>
        <w:t>Workflow B sharing the raw workbook with A.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