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Empathy &amp; Journey Map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Chosen archetype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Ground this in a specific voice from the transcripts (cite BN-xx).</w:t>
      </w:r>
    </w:p>
    <w:p>
      <w:pPr>
        <w:pStyle w:val="Heading2"/>
      </w:pPr>
      <w:r>
        <w:rPr>
          <w:rFonts w:ascii="Calibri" w:hAnsi="Calibri"/>
          <w:color w:val="1B2A4A"/>
        </w:rPr>
        <w:t>Empathy map (cite quotes)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Says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Thinks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Does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Feels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Journey 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58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Emotion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Pain point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Evidence (quote or FM-)</w:t>
            </w:r>
          </w:p>
        </w:tc>
      </w:tr>
      <w:tr>
        <w:tc>
          <w:tcPr>
            <w:tcW w:type="dxa" w:w="1584"/>
          </w:tcPr>
          <w:p>
            <w:r>
              <w:rPr>
                <w:sz w:val="20"/>
              </w:rPr>
              <w:t>Awareness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  <w:t>Waitlist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sz w:val="20"/>
              </w:rPr>
              <w:t>Training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  <w:t>Internship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sz w:val="20"/>
              </w:rPr>
              <w:t>Job search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  <w:t>90-day outcome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