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Trade-off Reflection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Complete after you have a preferred recommendation. Answer in your own words. There is no checklist of named dilemmas to tick.</w:t>
      </w:r>
    </w:p>
    <w:p>
      <w:pPr>
        <w:pStyle w:val="Heading2"/>
      </w:pPr>
      <w:r>
        <w:rPr>
          <w:rFonts w:ascii="Calibri" w:hAnsi="Calibri"/>
          <w:color w:val="1B2A4A"/>
        </w:rPr>
        <w:t>1. Who gains under your recommendation?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2. Who loses, waits longer, or is deprioritised?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3. What would you need to believe for the opposite choice to be right?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4. What cost does your preferred path accept, and why is that acceptable?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5. Which transcript voice would be hardest to explain this to - and how would you explain it?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