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Executive Summary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Calibri" w:hAnsi="Calibri"/>
          <w:color w:val="1B2A4A"/>
        </w:rPr>
        <w:t>Key message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[One sentence: the single most important thing the Board should know.]</w:t>
      </w:r>
    </w:p>
    <w:p>
      <w:pPr>
        <w:pStyle w:val="Heading2"/>
      </w:pPr>
      <w:r>
        <w:rPr>
          <w:rFonts w:ascii="Calibri" w:hAnsi="Calibri"/>
          <w:color w:val="1B2A4A"/>
        </w:rPr>
        <w:t>Context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[Three or four sentences on why this decision matters now.]</w:t>
      </w:r>
    </w:p>
    <w:p>
      <w:pPr>
        <w:pStyle w:val="Heading2"/>
      </w:pPr>
      <w:r>
        <w:rPr>
          <w:rFonts w:ascii="Calibri" w:hAnsi="Calibri"/>
          <w:color w:val="1B2A4A"/>
        </w:rPr>
        <w:t>Recommendation</w:t>
      </w:r>
    </w:p>
    <w:p>
      <w:pPr>
        <w:pStyle w:val="ListNumber"/>
        <w:ind w:left="360"/>
      </w:pPr>
      <w:r>
        <w:rPr>
          <w:rFonts w:ascii="Calibri" w:hAnsi="Calibri"/>
        </w:rPr>
        <w:t>Primary recommendation:</w:t>
      </w:r>
    </w:p>
    <w:p>
      <w:pPr>
        <w:pStyle w:val="ListNumber"/>
        <w:ind w:left="360"/>
      </w:pPr>
      <w:r>
        <w:rPr>
          <w:rFonts w:ascii="Calibri" w:hAnsi="Calibri"/>
        </w:rPr>
        <w:t>Supporting actions:</w:t>
      </w:r>
    </w:p>
    <w:p>
      <w:pPr>
        <w:pStyle w:val="ListNumber"/>
        <w:ind w:left="360"/>
      </w:pPr>
      <w:r>
        <w:rPr>
          <w:rFonts w:ascii="Calibri" w:hAnsi="Calibri"/>
        </w:rPr>
        <w:t>What GBF should stop doing:</w:t>
      </w:r>
    </w:p>
    <w:p>
      <w:pPr>
        <w:pStyle w:val="Heading2"/>
      </w:pPr>
      <w:r>
        <w:rPr>
          <w:rFonts w:ascii="Calibri" w:hAnsi="Calibri"/>
          <w:color w:val="1B2A4A"/>
        </w:rPr>
        <w:t>Evidence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45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Source (D-/ST-/R-/FM-)</w:t>
            </w:r>
          </w:p>
        </w:tc>
        <w:tc>
          <w:tcPr>
            <w:tcW w:type="dxa" w:w="316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Implication</w:t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Ninety-day roadmap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489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Actions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Cost estimate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0-30 days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31-60 days</w:t>
            </w:r>
          </w:p>
        </w:tc>
        <w:tc>
          <w:tcPr>
            <w:tcW w:type="dxa" w:w="489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61-90 days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What we still do not know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[Honest limitations - this builds credibility.]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