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Final Report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Recommended length 15-25 pages excluding the appendix. Use this structure.</w:t>
      </w:r>
    </w:p>
    <w:p>
      <w:pPr>
        <w:pStyle w:val="ListNumber"/>
        <w:ind w:left="360"/>
      </w:pPr>
      <w:r>
        <w:rPr>
          <w:rFonts w:ascii="Calibri" w:hAnsi="Calibri"/>
        </w:rPr>
        <w:t>Executive summary</w:t>
      </w:r>
    </w:p>
    <w:p>
      <w:pPr>
        <w:pStyle w:val="ListNumber"/>
        <w:ind w:left="360"/>
      </w:pPr>
      <w:r>
        <w:rPr>
          <w:rFonts w:ascii="Calibri" w:hAnsi="Calibri"/>
        </w:rPr>
        <w:t>Engagement approach (including request protocol)</w:t>
      </w:r>
    </w:p>
    <w:p>
      <w:pPr>
        <w:pStyle w:val="ListNumber"/>
        <w:ind w:left="360"/>
      </w:pPr>
      <w:r>
        <w:rPr>
          <w:rFonts w:ascii="Calibri" w:hAnsi="Calibri"/>
        </w:rPr>
        <w:t>Problem definition</w:t>
      </w:r>
    </w:p>
    <w:p>
      <w:pPr>
        <w:pStyle w:val="ListNumber"/>
        <w:ind w:left="360"/>
      </w:pPr>
      <w:r>
        <w:rPr>
          <w:rFonts w:ascii="Calibri" w:hAnsi="Calibri"/>
        </w:rPr>
        <w:t>Situation analysis</w:t>
      </w:r>
    </w:p>
    <w:p>
      <w:pPr>
        <w:pStyle w:val="ListNumber"/>
        <w:ind w:left="360"/>
      </w:pPr>
      <w:r>
        <w:rPr>
          <w:rFonts w:ascii="Calibri" w:hAnsi="Calibri"/>
        </w:rPr>
        <w:t>Stakeholder insights</w:t>
      </w:r>
    </w:p>
    <w:p>
      <w:pPr>
        <w:pStyle w:val="ListNumber"/>
        <w:ind w:left="360"/>
      </w:pPr>
      <w:r>
        <w:rPr>
          <w:rFonts w:ascii="Calibri" w:hAnsi="Calibri"/>
        </w:rPr>
        <w:t>Findings from Analysis Requests</w:t>
      </w:r>
    </w:p>
    <w:p>
      <w:pPr>
        <w:pStyle w:val="ListNumber"/>
        <w:ind w:left="360"/>
      </w:pPr>
      <w:r>
        <w:rPr>
          <w:rFonts w:ascii="Calibri" w:hAnsi="Calibri"/>
        </w:rPr>
        <w:t>Strategic options</w:t>
      </w:r>
    </w:p>
    <w:p>
      <w:pPr>
        <w:pStyle w:val="ListNumber"/>
        <w:ind w:left="360"/>
      </w:pPr>
      <w:r>
        <w:rPr>
          <w:rFonts w:ascii="Calibri" w:hAnsi="Calibri"/>
        </w:rPr>
        <w:t>Recommendation</w:t>
      </w:r>
    </w:p>
    <w:p>
      <w:pPr>
        <w:pStyle w:val="ListNumber"/>
        <w:ind w:left="360"/>
      </w:pPr>
      <w:r>
        <w:rPr>
          <w:rFonts w:ascii="Calibri" w:hAnsi="Calibri"/>
        </w:rPr>
        <w:t>Implementation roadmap</w:t>
      </w:r>
    </w:p>
    <w:p>
      <w:pPr>
        <w:pStyle w:val="ListNumber"/>
        <w:ind w:left="360"/>
      </w:pPr>
      <w:r>
        <w:rPr>
          <w:rFonts w:ascii="Calibri" w:hAnsi="Calibri"/>
        </w:rPr>
        <w:t>Trade-offs accepted</w:t>
      </w:r>
    </w:p>
    <w:p>
      <w:pPr>
        <w:pStyle w:val="ListNumber"/>
        <w:ind w:left="360"/>
      </w:pPr>
      <w:r>
        <w:rPr>
          <w:rFonts w:ascii="Calibri" w:hAnsi="Calibri"/>
        </w:rPr>
        <w:t>Risks and mitigations</w:t>
      </w:r>
    </w:p>
    <w:p>
      <w:pPr>
        <w:pStyle w:val="ListNumber"/>
        <w:ind w:left="360"/>
      </w:pPr>
      <w:r>
        <w:rPr>
          <w:rFonts w:ascii="Calibri" w:hAnsi="Calibri"/>
        </w:rPr>
        <w:t>Limitations and further work</w:t>
      </w:r>
    </w:p>
    <w:p>
      <w:pPr>
        <w:pStyle w:val="ListNumber"/>
        <w:ind w:left="360"/>
      </w:pPr>
      <w:r>
        <w:rPr>
          <w:rFonts w:ascii="Calibri" w:hAnsi="Calibri"/>
        </w:rPr>
        <w:t>Appendices (Request Log extract, key Findings Memos)</w:t>
      </w:r>
    </w:p>
    <w:p>
      <w:pPr>
        <w:pStyle w:val="Heading2"/>
      </w:pPr>
      <w:r>
        <w:rPr>
          <w:rFonts w:ascii="Calibri" w:hAnsi="Calibri"/>
          <w:color w:val="1B2A4A"/>
        </w:rPr>
        <w:t>Standards</w:t>
      </w:r>
    </w:p>
    <w:p>
      <w:pPr>
        <w:pStyle w:val="ListBullet"/>
        <w:ind w:left="360"/>
      </w:pPr>
      <w:r>
        <w:rPr>
          <w:rFonts w:ascii="Calibri" w:hAnsi="Calibri"/>
        </w:rPr>
        <w:t>Every claim carries a source reference (document, transcript, or R/FM ID).</w:t>
      </w:r>
    </w:p>
    <w:p>
      <w:pPr>
        <w:pStyle w:val="ListBullet"/>
        <w:ind w:left="360"/>
      </w:pPr>
      <w:r>
        <w:rPr>
          <w:rFonts w:ascii="Calibri" w:hAnsi="Calibri"/>
        </w:rPr>
        <w:t>The placement definition is stated wherever the rate is used.</w:t>
      </w:r>
    </w:p>
    <w:p>
      <w:pPr>
        <w:pStyle w:val="ListBullet"/>
        <w:ind w:left="360"/>
      </w:pPr>
      <w:r>
        <w:rPr>
          <w:rFonts w:ascii="Calibri" w:hAnsi="Calibri"/>
        </w:rPr>
        <w:t>Charts are sourced and dated.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